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F532" w14:textId="77777777" w:rsidR="002E1AA8" w:rsidRDefault="002E1AA8" w:rsidP="002E1AA8">
      <w:pPr>
        <w:tabs>
          <w:tab w:val="left" w:pos="2268"/>
        </w:tabs>
        <w:ind w:right="-2"/>
        <w:rPr>
          <w:rFonts w:ascii="Arial" w:hAnsi="Arial"/>
          <w:b/>
          <w:i/>
          <w:caps/>
          <w:sz w:val="18"/>
        </w:rPr>
      </w:pPr>
    </w:p>
    <w:p w14:paraId="7E01F533" w14:textId="77777777" w:rsidR="002E1AA8" w:rsidRDefault="00675559" w:rsidP="002E1AA8">
      <w:pPr>
        <w:framePr w:w="4082" w:h="2387" w:hRule="exact" w:hSpace="142" w:wrap="around" w:vAnchor="page" w:hAnchor="page" w:x="7208" w:y="1294" w:anchorLock="1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</w:t>
      </w:r>
      <w:r w:rsidR="002E1AA8">
        <w:rPr>
          <w:rFonts w:ascii="Arial" w:hAnsi="Arial"/>
          <w:b/>
          <w:sz w:val="16"/>
        </w:rPr>
        <w:t>0</w:t>
      </w:r>
      <w:r w:rsidR="00533CC4">
        <w:rPr>
          <w:rFonts w:ascii="Arial" w:hAnsi="Arial"/>
          <w:b/>
          <w:sz w:val="16"/>
        </w:rPr>
        <w:t xml:space="preserve"> / 0</w:t>
      </w:r>
      <w:r w:rsidR="00900998">
        <w:fldChar w:fldCharType="begin"/>
      </w:r>
      <w:r w:rsidR="00900998">
        <w:instrText xml:space="preserve"> </w:instrText>
      </w:r>
      <w:r w:rsidR="00900998">
        <w:fldChar w:fldCharType="end"/>
      </w:r>
    </w:p>
    <w:p w14:paraId="7E01F534" w14:textId="77777777" w:rsidR="002E1AA8" w:rsidRDefault="002E1AA8" w:rsidP="002E1AA8">
      <w:pPr>
        <w:framePr w:w="4082" w:h="2387" w:hRule="exact" w:hSpace="142" w:wrap="around" w:vAnchor="page" w:hAnchor="page" w:x="7208" w:y="1294" w:anchorLock="1"/>
        <w:rPr>
          <w:rFonts w:ascii="Arial" w:hAnsi="Arial"/>
        </w:rPr>
      </w:pPr>
    </w:p>
    <w:p w14:paraId="7E01F535" w14:textId="77777777" w:rsidR="005004F2" w:rsidRDefault="005004F2" w:rsidP="005004F2">
      <w:pPr>
        <w:pStyle w:val="Zkladntext"/>
        <w:framePr w:w="5160" w:h="2608" w:hSpace="142" w:wrap="around" w:vAnchor="page" w:hAnchor="page" w:x="579" w:y="1561"/>
        <w:shd w:val="pct12" w:color="auto" w:fill="FFFFFF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Oborová zdravotní pojišťovna zaměstnanců bank, </w:t>
      </w:r>
    </w:p>
    <w:p w14:paraId="7E01F536" w14:textId="77777777" w:rsidR="005004F2" w:rsidRDefault="005004F2" w:rsidP="005004F2">
      <w:pPr>
        <w:pStyle w:val="Zkladntext"/>
        <w:framePr w:w="5160" w:h="2608" w:hSpace="142" w:wrap="around" w:vAnchor="page" w:hAnchor="page" w:x="579" w:y="1561"/>
        <w:shd w:val="pct12" w:color="auto" w:fill="FFFFFF"/>
        <w:jc w:val="left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pojišťoven a stavebnictví</w:t>
      </w:r>
    </w:p>
    <w:p w14:paraId="7E01F537" w14:textId="77777777" w:rsidR="005004F2" w:rsidRDefault="005004F2" w:rsidP="005004F2">
      <w:pPr>
        <w:pStyle w:val="Zkladntext"/>
        <w:framePr w:w="5160" w:h="2608" w:hSpace="142" w:wrap="around" w:vAnchor="page" w:hAnchor="page" w:x="579" w:y="1561"/>
        <w:shd w:val="pct12" w:color="auto" w:fill="FFFFFF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IČ: 47114321, DIČ: CZ47114321, kód 207</w:t>
      </w:r>
    </w:p>
    <w:p w14:paraId="7E01F538" w14:textId="77777777" w:rsidR="005004F2" w:rsidRDefault="00EB3AEF" w:rsidP="005004F2">
      <w:pPr>
        <w:pStyle w:val="Zkladntext"/>
        <w:framePr w:w="5160" w:h="2608" w:hSpace="142" w:wrap="around" w:vAnchor="page" w:hAnchor="page" w:x="579" w:y="1561"/>
        <w:shd w:val="pct12" w:color="auto" w:fill="FFFFFF"/>
        <w:tabs>
          <w:tab w:val="left" w:pos="1418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Zástupce</w:t>
      </w:r>
      <w:r w:rsidR="005004F2">
        <w:rPr>
          <w:rFonts w:ascii="Arial" w:hAnsi="Arial"/>
          <w:sz w:val="16"/>
        </w:rPr>
        <w:t>:</w:t>
      </w:r>
      <w:r w:rsidR="005004F2">
        <w:rPr>
          <w:rFonts w:ascii="Arial" w:hAnsi="Arial"/>
          <w:b/>
          <w:sz w:val="16"/>
        </w:rPr>
        <w:t xml:space="preserve">  </w:t>
      </w:r>
      <w:r w:rsidR="005004F2">
        <w:rPr>
          <w:rFonts w:ascii="Arial" w:hAnsi="Arial"/>
          <w:b/>
          <w:sz w:val="16"/>
        </w:rPr>
        <w:tab/>
        <w:t xml:space="preserve">Ing. </w:t>
      </w:r>
      <w:r w:rsidR="00F832F0">
        <w:rPr>
          <w:rFonts w:ascii="Arial" w:hAnsi="Arial"/>
          <w:b/>
          <w:sz w:val="16"/>
        </w:rPr>
        <w:t>Radovan Kouřil</w:t>
      </w:r>
    </w:p>
    <w:p w14:paraId="7E01F539" w14:textId="77777777" w:rsidR="005004F2" w:rsidRDefault="005004F2" w:rsidP="005004F2">
      <w:pPr>
        <w:pStyle w:val="Zkladntext"/>
        <w:framePr w:w="5160" w:h="2608" w:hSpace="142" w:wrap="around" w:vAnchor="page" w:hAnchor="page" w:x="579" w:y="1561"/>
        <w:shd w:val="pct12" w:color="auto" w:fill="FFFFFF"/>
        <w:tabs>
          <w:tab w:val="left" w:pos="1418"/>
        </w:tabs>
        <w:ind w:firstLine="110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generální ředitel</w:t>
      </w:r>
    </w:p>
    <w:p w14:paraId="7E01F53A" w14:textId="77777777" w:rsidR="005004F2" w:rsidRDefault="005004F2" w:rsidP="005004F2">
      <w:pPr>
        <w:pStyle w:val="Zkladntext"/>
        <w:framePr w:w="5160" w:h="2608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se sídlem:   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Roškotova 1225/1</w:t>
      </w:r>
    </w:p>
    <w:p w14:paraId="7E01F53B" w14:textId="77777777" w:rsidR="005004F2" w:rsidRDefault="008C0B94" w:rsidP="005004F2">
      <w:pPr>
        <w:pStyle w:val="Zkladntext"/>
        <w:framePr w:w="5160" w:h="2608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 xml:space="preserve">140 21 </w:t>
      </w:r>
      <w:r w:rsidR="005004F2">
        <w:rPr>
          <w:rFonts w:ascii="Arial" w:hAnsi="Arial"/>
          <w:b/>
          <w:sz w:val="16"/>
        </w:rPr>
        <w:t>Praha 4</w:t>
      </w:r>
    </w:p>
    <w:p w14:paraId="7E01F53C" w14:textId="77777777" w:rsidR="005004F2" w:rsidRDefault="005004F2" w:rsidP="005004F2">
      <w:pPr>
        <w:pStyle w:val="Zkladntext"/>
        <w:framePr w:w="5160" w:h="2608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zapsaná</w:t>
      </w:r>
      <w:r>
        <w:rPr>
          <w:rFonts w:ascii="Arial" w:hAnsi="Arial"/>
          <w:sz w:val="16"/>
        </w:rPr>
        <w:tab/>
        <w:t xml:space="preserve">v obchodním rejstříku, vedeném </w:t>
      </w:r>
    </w:p>
    <w:p w14:paraId="7E01F53D" w14:textId="77777777" w:rsidR="005004F2" w:rsidRDefault="005004F2" w:rsidP="005004F2">
      <w:pPr>
        <w:pStyle w:val="Zkladntext"/>
        <w:framePr w:w="5160" w:h="2608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Městským soudem v Praze  </w:t>
      </w:r>
      <w:proofErr w:type="spellStart"/>
      <w:proofErr w:type="gramStart"/>
      <w:r w:rsidR="00F832F0">
        <w:rPr>
          <w:rFonts w:ascii="Arial" w:hAnsi="Arial"/>
          <w:sz w:val="16"/>
        </w:rPr>
        <w:t>spis</w:t>
      </w:r>
      <w:proofErr w:type="gramEnd"/>
      <w:r w:rsidR="00F832F0">
        <w:rPr>
          <w:rFonts w:ascii="Arial" w:hAnsi="Arial"/>
          <w:sz w:val="16"/>
        </w:rPr>
        <w:t>.</w:t>
      </w:r>
      <w:proofErr w:type="gramStart"/>
      <w:r w:rsidR="00F832F0">
        <w:rPr>
          <w:rFonts w:ascii="Arial" w:hAnsi="Arial"/>
          <w:sz w:val="16"/>
        </w:rPr>
        <w:t>zn</w:t>
      </w:r>
      <w:proofErr w:type="spellEnd"/>
      <w:r w:rsidR="00F832F0">
        <w:rPr>
          <w:rFonts w:ascii="Arial" w:hAnsi="Arial"/>
          <w:sz w:val="16"/>
        </w:rPr>
        <w:t>.</w:t>
      </w:r>
      <w:proofErr w:type="gramEnd"/>
      <w:r w:rsidR="00F31025">
        <w:rPr>
          <w:rFonts w:ascii="Arial" w:hAnsi="Arial"/>
          <w:sz w:val="16"/>
        </w:rPr>
        <w:t xml:space="preserve"> A </w:t>
      </w:r>
      <w:r>
        <w:rPr>
          <w:rFonts w:ascii="Arial" w:hAnsi="Arial"/>
          <w:sz w:val="16"/>
        </w:rPr>
        <w:t>7232</w:t>
      </w:r>
    </w:p>
    <w:p w14:paraId="7E01F53E" w14:textId="77777777" w:rsidR="005004F2" w:rsidRDefault="005004F2" w:rsidP="005004F2">
      <w:pPr>
        <w:pStyle w:val="Zkladntext"/>
        <w:framePr w:w="5160" w:h="2608" w:hSpace="142" w:wrap="around" w:vAnchor="page" w:hAnchor="page" w:x="579" w:y="1561"/>
        <w:shd w:val="pct12" w:color="auto" w:fill="FFFFFF"/>
        <w:tabs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Bankovní spojení:</w:t>
      </w:r>
      <w:r w:rsidR="00F31025">
        <w:rPr>
          <w:rFonts w:ascii="Arial" w:hAnsi="Arial"/>
          <w:sz w:val="16"/>
        </w:rPr>
        <w:t xml:space="preserve">   Česká národní banka, </w:t>
      </w:r>
      <w:r>
        <w:rPr>
          <w:rFonts w:ascii="Arial" w:hAnsi="Arial"/>
          <w:sz w:val="16"/>
        </w:rPr>
        <w:t>č.</w:t>
      </w:r>
      <w:r w:rsidR="008C0B94">
        <w:rPr>
          <w:rFonts w:ascii="Arial" w:hAnsi="Arial"/>
          <w:sz w:val="16"/>
        </w:rPr>
        <w:t xml:space="preserve"> </w:t>
      </w:r>
      <w:r w:rsidR="00FF63DB">
        <w:rPr>
          <w:rFonts w:ascii="Arial" w:hAnsi="Arial"/>
          <w:sz w:val="16"/>
        </w:rPr>
        <w:t>ú:</w:t>
      </w:r>
      <w:r w:rsidR="00590701">
        <w:rPr>
          <w:rFonts w:ascii="Arial" w:hAnsi="Arial"/>
          <w:sz w:val="16"/>
        </w:rPr>
        <w:t xml:space="preserve"> </w:t>
      </w:r>
      <w:r w:rsidR="00F832F0">
        <w:rPr>
          <w:rFonts w:ascii="Arial" w:hAnsi="Arial"/>
          <w:sz w:val="16"/>
        </w:rPr>
        <w:t>2070101041/0710</w:t>
      </w:r>
    </w:p>
    <w:p w14:paraId="7E01F53F" w14:textId="77777777" w:rsidR="00F31025" w:rsidRDefault="00F31025" w:rsidP="005004F2">
      <w:pPr>
        <w:pStyle w:val="Zkladntext"/>
        <w:framePr w:w="5160" w:h="2608" w:hSpace="142" w:wrap="around" w:vAnchor="page" w:hAnchor="page" w:x="579" w:y="1561"/>
        <w:shd w:val="pct12" w:color="auto" w:fill="FFFFFF"/>
        <w:tabs>
          <w:tab w:val="left" w:pos="1701"/>
        </w:tabs>
        <w:jc w:val="left"/>
        <w:rPr>
          <w:rFonts w:ascii="Arial" w:hAnsi="Arial"/>
          <w:sz w:val="16"/>
        </w:rPr>
      </w:pPr>
    </w:p>
    <w:p w14:paraId="7E01F540" w14:textId="77777777" w:rsidR="005004F2" w:rsidRDefault="005004F2" w:rsidP="005004F2">
      <w:pPr>
        <w:pStyle w:val="Zkladntext"/>
        <w:framePr w:w="5160" w:h="2608" w:hSpace="142" w:wrap="around" w:vAnchor="page" w:hAnchor="page" w:x="579" w:y="1561"/>
        <w:shd w:val="pct12" w:color="auto" w:fill="FFFFFF"/>
        <w:tabs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(dále jen </w:t>
      </w:r>
      <w:r w:rsidR="001514F0">
        <w:rPr>
          <w:rFonts w:ascii="Arial" w:hAnsi="Arial"/>
          <w:sz w:val="16"/>
        </w:rPr>
        <w:t>„</w:t>
      </w:r>
      <w:r>
        <w:rPr>
          <w:rFonts w:ascii="Arial" w:hAnsi="Arial"/>
          <w:sz w:val="16"/>
        </w:rPr>
        <w:t>Zdravotní pojišťovna</w:t>
      </w:r>
      <w:r w:rsidR="001514F0">
        <w:rPr>
          <w:rFonts w:ascii="Arial" w:hAnsi="Arial"/>
          <w:sz w:val="16"/>
        </w:rPr>
        <w:t>“</w:t>
      </w:r>
      <w:r>
        <w:rPr>
          <w:rFonts w:ascii="Arial" w:hAnsi="Arial"/>
          <w:sz w:val="16"/>
        </w:rPr>
        <w:t>) na straně jedné</w:t>
      </w:r>
    </w:p>
    <w:p w14:paraId="7E01F541" w14:textId="77777777" w:rsidR="005004F2" w:rsidRDefault="005004F2" w:rsidP="005004F2">
      <w:pPr>
        <w:pStyle w:val="Zkladntext"/>
        <w:framePr w:w="5160" w:h="2608" w:hSpace="142" w:wrap="around" w:vAnchor="page" w:hAnchor="page" w:x="579" w:y="1561"/>
        <w:shd w:val="pct12" w:color="auto" w:fill="FFFFFF"/>
        <w:tabs>
          <w:tab w:val="left" w:pos="1701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</w:t>
      </w:r>
    </w:p>
    <w:p w14:paraId="7E01F542" w14:textId="77777777" w:rsidR="002E1AA8" w:rsidRDefault="00843913" w:rsidP="002E1AA8">
      <w:pPr>
        <w:pStyle w:val="Zkladntext"/>
        <w:ind w:right="-2"/>
        <w:jc w:val="left"/>
        <w:rPr>
          <w:rFonts w:ascii="Arial" w:hAnsi="Arial"/>
          <w:color w:val="auto"/>
          <w:sz w:val="18"/>
        </w:rPr>
      </w:pPr>
      <w:r>
        <w:rPr>
          <w:rFonts w:ascii="Arial" w:hAnsi="Arial"/>
          <w:b/>
          <w:i/>
          <w:caps/>
          <w:noProof/>
          <w:sz w:val="18"/>
        </w:rPr>
        <w:drawing>
          <wp:inline distT="0" distB="0" distL="0" distR="0" wp14:anchorId="7E01F614" wp14:editId="7E01F615">
            <wp:extent cx="271399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5103"/>
      </w:tblGrid>
      <w:tr w:rsidR="002E1AA8" w14:paraId="7E01F544" w14:textId="77777777">
        <w:trPr>
          <w:trHeight w:val="418"/>
        </w:trPr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E01F543" w14:textId="6C0B20B0" w:rsidR="002E1AA8" w:rsidRDefault="008C0B94" w:rsidP="0010277B">
            <w:pPr>
              <w:pStyle w:val="Zkladntext"/>
              <w:ind w:right="-2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Poskytovatel zdravotních služeb</w:t>
            </w:r>
            <w:r w:rsidR="002E1AA8">
              <w:rPr>
                <w:rFonts w:ascii="Arial" w:hAnsi="Arial"/>
                <w:b/>
                <w:color w:val="auto"/>
              </w:rPr>
              <w:t xml:space="preserve">:  </w:t>
            </w:r>
            <w:r w:rsidR="00900998">
              <w:fldChar w:fldCharType="begin"/>
            </w:r>
            <w:r w:rsidR="00900998">
              <w:instrText xml:space="preserve"> </w:instrText>
            </w:r>
            <w:r w:rsidR="00900998">
              <w:fldChar w:fldCharType="end"/>
            </w:r>
          </w:p>
        </w:tc>
      </w:tr>
      <w:tr w:rsidR="002E1AA8" w14:paraId="7E01F548" w14:textId="77777777">
        <w:trPr>
          <w:trHeight w:val="360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E01F545" w14:textId="77777777" w:rsidR="002E1AA8" w:rsidRDefault="008C0B94" w:rsidP="008C0B94">
            <w:pPr>
              <w:pStyle w:val="Texttabulky"/>
              <w:ind w:right="-2"/>
              <w:rPr>
                <w:rFonts w:ascii="Arial" w:hAnsi="Arial"/>
                <w:color w:val="auto"/>
                <w:spacing w:val="-20"/>
                <w:sz w:val="20"/>
              </w:rPr>
            </w:pPr>
            <w:r>
              <w:rPr>
                <w:rFonts w:ascii="Arial" w:hAnsi="Arial"/>
                <w:b/>
                <w:color w:val="auto"/>
                <w:spacing w:val="-20"/>
                <w:sz w:val="20"/>
              </w:rPr>
              <w:t>IČ</w:t>
            </w:r>
            <w:r w:rsidR="002E1AA8">
              <w:rPr>
                <w:rFonts w:ascii="Arial" w:hAnsi="Arial"/>
                <w:b/>
                <w:color w:val="auto"/>
                <w:spacing w:val="-20"/>
                <w:sz w:val="20"/>
              </w:rPr>
              <w:t xml:space="preserve">:   </w:t>
            </w:r>
            <w:r w:rsidR="00900998">
              <w:fldChar w:fldCharType="begin"/>
            </w:r>
            <w:r w:rsidR="00900998">
              <w:instrText xml:space="preserve"> </w:instrText>
            </w:r>
            <w:r w:rsidR="00900998"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14:paraId="7E01F546" w14:textId="01F1E23F" w:rsidR="002E1AA8" w:rsidRDefault="002E1AA8">
            <w:pPr>
              <w:pStyle w:val="Texttabulky"/>
              <w:ind w:right="-2"/>
              <w:rPr>
                <w:rFonts w:ascii="Arial" w:hAnsi="Arial"/>
                <w:color w:val="auto"/>
                <w:sz w:val="20"/>
              </w:rPr>
            </w:pPr>
            <w:proofErr w:type="gramStart"/>
            <w:r>
              <w:rPr>
                <w:rFonts w:ascii="Arial" w:hAnsi="Arial"/>
                <w:color w:val="auto"/>
                <w:sz w:val="20"/>
              </w:rPr>
              <w:t>specifikace</w:t>
            </w:r>
            <w:r>
              <w:rPr>
                <w:rFonts w:ascii="Arial" w:hAnsi="Arial"/>
                <w:color w:val="auto"/>
                <w:sz w:val="20"/>
                <w:vertAlign w:val="superscript"/>
              </w:rPr>
              <w:t xml:space="preserve"> </w:t>
            </w:r>
            <w:r>
              <w:rPr>
                <w:rFonts w:ascii="Arial" w:hAnsi="Arial"/>
                <w:color w:val="auto"/>
                <w:sz w:val="20"/>
              </w:rPr>
              <w:t xml:space="preserve"> :  </w:t>
            </w:r>
            <w:r w:rsidR="00900998">
              <w:fldChar w:fldCharType="begin"/>
            </w:r>
            <w:r w:rsidR="00900998">
              <w:instrText xml:space="preserve"> </w:instrText>
            </w:r>
            <w:r w:rsidR="00900998">
              <w:fldChar w:fldCharType="end"/>
            </w:r>
            <w:proofErr w:type="gramEnd"/>
          </w:p>
        </w:tc>
        <w:tc>
          <w:tcPr>
            <w:tcW w:w="5103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E01F547" w14:textId="37814A5A" w:rsidR="002E1AA8" w:rsidRDefault="002E1AA8" w:rsidP="0010277B">
            <w:pPr>
              <w:pStyle w:val="Texttabulky"/>
              <w:ind w:right="-2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IČZ:  </w:t>
            </w:r>
          </w:p>
        </w:tc>
      </w:tr>
      <w:tr w:rsidR="002E1AA8" w14:paraId="7E01F54B" w14:textId="77777777">
        <w:trPr>
          <w:cantSplit/>
          <w:trHeight w:val="360"/>
        </w:trPr>
        <w:tc>
          <w:tcPr>
            <w:tcW w:w="5670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01F549" w14:textId="77777777" w:rsidR="002E1AA8" w:rsidRDefault="008C0B94" w:rsidP="005774E6">
            <w:pPr>
              <w:pStyle w:val="Zkladntext"/>
              <w:ind w:right="-2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Sídlo</w:t>
            </w:r>
            <w:r w:rsidR="002E1AA8">
              <w:rPr>
                <w:rFonts w:ascii="Arial" w:hAnsi="Arial"/>
                <w:b/>
                <w:color w:val="auto"/>
              </w:rPr>
              <w:t xml:space="preserve">:    </w:t>
            </w:r>
            <w:r w:rsidR="00900998">
              <w:fldChar w:fldCharType="begin"/>
            </w:r>
            <w:r w:rsidR="00900998">
              <w:instrText xml:space="preserve"> </w:instrText>
            </w:r>
            <w:r w:rsidR="00900998">
              <w:fldChar w:fldCharType="end"/>
            </w:r>
            <w:r w:rsidR="00900998">
              <w:fldChar w:fldCharType="begin"/>
            </w:r>
            <w:r w:rsidR="00900998">
              <w:instrText xml:space="preserve"> </w:instrText>
            </w:r>
            <w:r w:rsidR="00900998">
              <w:fldChar w:fldCharType="end"/>
            </w:r>
            <w:r w:rsidR="00900998">
              <w:fldChar w:fldCharType="begin"/>
            </w:r>
            <w:r w:rsidR="00900998">
              <w:instrText xml:space="preserve"> </w:instrText>
            </w:r>
            <w:r w:rsidR="00900998">
              <w:fldChar w:fldCharType="end"/>
            </w:r>
          </w:p>
        </w:tc>
        <w:tc>
          <w:tcPr>
            <w:tcW w:w="5103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E01F54A" w14:textId="760E32C4" w:rsidR="002E1AA8" w:rsidRDefault="002E1AA8">
            <w:pPr>
              <w:pStyle w:val="Texttabulky"/>
              <w:ind w:right="-2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IČP:</w:t>
            </w:r>
          </w:p>
        </w:tc>
      </w:tr>
      <w:tr w:rsidR="002E1AA8" w14:paraId="7E01F54E" w14:textId="77777777">
        <w:trPr>
          <w:cantSplit/>
          <w:trHeight w:val="395"/>
        </w:trPr>
        <w:tc>
          <w:tcPr>
            <w:tcW w:w="56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E01F54C" w14:textId="77777777" w:rsidR="002E1AA8" w:rsidRDefault="002E1AA8" w:rsidP="005774E6">
            <w:pPr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E01F54D" w14:textId="77777777" w:rsidR="002E1AA8" w:rsidRDefault="002E1AA8" w:rsidP="008C0B94">
            <w:pPr>
              <w:pStyle w:val="Texttabulky"/>
              <w:ind w:right="-2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PSČ:   </w:t>
            </w:r>
            <w:r w:rsidR="00900998">
              <w:fldChar w:fldCharType="begin"/>
            </w:r>
            <w:r w:rsidR="00900998">
              <w:instrText xml:space="preserve"> </w:instrText>
            </w:r>
            <w:r w:rsidR="00900998">
              <w:fldChar w:fldCharType="end"/>
            </w:r>
          </w:p>
        </w:tc>
      </w:tr>
      <w:tr w:rsidR="002E1AA8" w14:paraId="7E01F550" w14:textId="77777777">
        <w:trPr>
          <w:trHeight w:val="215"/>
        </w:trPr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F54F" w14:textId="77777777" w:rsidR="002E1AA8" w:rsidRDefault="00EB3AEF" w:rsidP="00C43116">
            <w:pPr>
              <w:pStyle w:val="Texttabulky"/>
              <w:ind w:right="-2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Zástupce</w:t>
            </w:r>
            <w:r w:rsidR="002E1AA8">
              <w:rPr>
                <w:rFonts w:ascii="Arial" w:hAnsi="Arial"/>
                <w:b/>
                <w:color w:val="auto"/>
                <w:sz w:val="20"/>
              </w:rPr>
              <w:t xml:space="preserve">:    </w:t>
            </w:r>
            <w:r w:rsidR="00900998">
              <w:fldChar w:fldCharType="begin"/>
            </w:r>
            <w:r w:rsidR="00900998">
              <w:instrText xml:space="preserve"> </w:instrText>
            </w:r>
            <w:r w:rsidR="00900998">
              <w:fldChar w:fldCharType="end"/>
            </w:r>
          </w:p>
        </w:tc>
      </w:tr>
    </w:tbl>
    <w:p w14:paraId="7E01F551" w14:textId="77777777" w:rsidR="002E1AA8" w:rsidRDefault="002E1AA8" w:rsidP="002E1AA8">
      <w:pPr>
        <w:pStyle w:val="Zkladntext"/>
        <w:jc w:val="center"/>
        <w:rPr>
          <w:rFonts w:ascii="Arial" w:hAnsi="Arial"/>
          <w:color w:val="auto"/>
          <w:sz w:val="16"/>
        </w:rPr>
      </w:pPr>
      <w:r>
        <w:rPr>
          <w:rFonts w:ascii="Arial" w:hAnsi="Arial"/>
          <w:color w:val="auto"/>
          <w:sz w:val="16"/>
        </w:rPr>
        <w:t xml:space="preserve"> (dále jen </w:t>
      </w:r>
      <w:r w:rsidR="001514F0">
        <w:rPr>
          <w:rFonts w:ascii="Arial" w:hAnsi="Arial"/>
          <w:color w:val="auto"/>
          <w:sz w:val="16"/>
        </w:rPr>
        <w:t>„</w:t>
      </w:r>
      <w:r w:rsidR="008C0B94">
        <w:rPr>
          <w:rFonts w:ascii="Arial" w:hAnsi="Arial"/>
          <w:color w:val="auto"/>
          <w:sz w:val="16"/>
        </w:rPr>
        <w:t>Poskytovatel</w:t>
      </w:r>
      <w:r w:rsidR="001514F0">
        <w:rPr>
          <w:rFonts w:ascii="Arial" w:hAnsi="Arial"/>
          <w:color w:val="auto"/>
          <w:sz w:val="16"/>
        </w:rPr>
        <w:t>“</w:t>
      </w:r>
      <w:r>
        <w:rPr>
          <w:rFonts w:ascii="Arial" w:hAnsi="Arial"/>
          <w:color w:val="auto"/>
          <w:sz w:val="16"/>
        </w:rPr>
        <w:t>) na straně druhé</w:t>
      </w:r>
    </w:p>
    <w:p w14:paraId="7E01F552" w14:textId="77777777" w:rsidR="008C0B94" w:rsidRDefault="008C0B94" w:rsidP="002E1AA8">
      <w:pPr>
        <w:pStyle w:val="Zkladntext"/>
        <w:jc w:val="center"/>
        <w:rPr>
          <w:rFonts w:ascii="Arial" w:hAnsi="Arial"/>
          <w:color w:val="auto"/>
          <w:sz w:val="16"/>
        </w:rPr>
      </w:pPr>
    </w:p>
    <w:p w14:paraId="7E01F553" w14:textId="77777777" w:rsidR="002E1AA8" w:rsidRDefault="002E1AA8" w:rsidP="002E1AA8">
      <w:pPr>
        <w:pStyle w:val="Zkladntext"/>
        <w:jc w:val="center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 xml:space="preserve">uzavírají po dohodě </w:t>
      </w:r>
      <w:r w:rsidR="00BB1784">
        <w:rPr>
          <w:rFonts w:ascii="Arial" w:hAnsi="Arial"/>
          <w:b/>
          <w:color w:val="auto"/>
        </w:rPr>
        <w:t>tento</w:t>
      </w:r>
    </w:p>
    <w:p w14:paraId="7E01F554" w14:textId="19BE7268" w:rsidR="00F25AAF" w:rsidRDefault="00F25AAF" w:rsidP="00F25AAF">
      <w:pPr>
        <w:pStyle w:val="Zkladntext"/>
        <w:spacing w:before="5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DODATEK KAP – PL 201</w:t>
      </w:r>
      <w:r w:rsidR="00833A8D">
        <w:rPr>
          <w:rFonts w:ascii="Arial" w:hAnsi="Arial"/>
          <w:b/>
          <w:bCs/>
        </w:rPr>
        <w:t>9</w:t>
      </w:r>
    </w:p>
    <w:p w14:paraId="7E01F555" w14:textId="77777777" w:rsidR="00F25AAF" w:rsidRDefault="00F25AAF" w:rsidP="00F25AAF">
      <w:pPr>
        <w:pStyle w:val="Zkladntext"/>
        <w:jc w:val="center"/>
        <w:rPr>
          <w:rFonts w:ascii="Arial" w:hAnsi="Arial"/>
          <w:b/>
          <w:bCs/>
          <w:sz w:val="18"/>
          <w:szCs w:val="18"/>
        </w:rPr>
      </w:pPr>
      <w:r w:rsidRPr="00F25AAF">
        <w:rPr>
          <w:rFonts w:ascii="Arial" w:hAnsi="Arial"/>
          <w:b/>
          <w:bCs/>
          <w:sz w:val="18"/>
          <w:szCs w:val="18"/>
        </w:rPr>
        <w:t xml:space="preserve">úhrada diferencovanou kombinovanou kapitačně výkonovou platbou </w:t>
      </w:r>
    </w:p>
    <w:p w14:paraId="7E01F556" w14:textId="77777777" w:rsidR="006A183C" w:rsidRDefault="006A183C" w:rsidP="00F25AAF">
      <w:pPr>
        <w:pStyle w:val="Zkladntext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(dále jen „Dodatek“) </w:t>
      </w:r>
    </w:p>
    <w:p w14:paraId="7E01F557" w14:textId="77777777" w:rsidR="0063088D" w:rsidRPr="00F25AAF" w:rsidRDefault="0063088D" w:rsidP="00F25AAF">
      <w:pPr>
        <w:pStyle w:val="Zkladntext"/>
        <w:jc w:val="center"/>
        <w:rPr>
          <w:rFonts w:ascii="Arial" w:hAnsi="Arial"/>
          <w:b/>
          <w:bCs/>
          <w:sz w:val="18"/>
          <w:szCs w:val="18"/>
        </w:rPr>
      </w:pPr>
    </w:p>
    <w:p w14:paraId="7E01F558" w14:textId="77777777" w:rsidR="00F25AAF" w:rsidRPr="00547FAB" w:rsidRDefault="00F25AAF" w:rsidP="00F25AAF">
      <w:pPr>
        <w:pStyle w:val="Zkladntext"/>
        <w:jc w:val="center"/>
        <w:rPr>
          <w:rFonts w:ascii="Arial Narrow" w:hAnsi="Arial Narrow"/>
          <w:b/>
          <w:bCs/>
          <w:sz w:val="18"/>
          <w:szCs w:val="18"/>
        </w:rPr>
      </w:pPr>
      <w:r w:rsidRPr="00547FAB">
        <w:rPr>
          <w:rFonts w:ascii="Arial Narrow" w:hAnsi="Arial Narrow"/>
          <w:b/>
          <w:bCs/>
          <w:sz w:val="18"/>
          <w:szCs w:val="18"/>
        </w:rPr>
        <w:t>I.</w:t>
      </w:r>
    </w:p>
    <w:p w14:paraId="7E01F559" w14:textId="31582FDA" w:rsidR="00D53920" w:rsidRPr="00547FAB" w:rsidRDefault="00D53920" w:rsidP="00D53920">
      <w:pPr>
        <w:pStyle w:val="Zkladntext"/>
        <w:numPr>
          <w:ilvl w:val="0"/>
          <w:numId w:val="11"/>
        </w:numPr>
        <w:rPr>
          <w:rFonts w:ascii="Arial Narrow" w:hAnsi="Arial Narrow" w:cs="Arial"/>
          <w:sz w:val="18"/>
          <w:szCs w:val="18"/>
        </w:rPr>
      </w:pPr>
      <w:r w:rsidRPr="00547FAB">
        <w:rPr>
          <w:rFonts w:ascii="Arial Narrow" w:hAnsi="Arial Narrow" w:cs="Arial"/>
          <w:sz w:val="18"/>
          <w:szCs w:val="18"/>
        </w:rPr>
        <w:t xml:space="preserve">Předmětem tohoto Dodatku je stanovení podmínek, způsobu a výše úhrady </w:t>
      </w:r>
      <w:r w:rsidRPr="00547FAB">
        <w:rPr>
          <w:rFonts w:ascii="Arial Narrow" w:hAnsi="Arial Narrow" w:cs="Arial"/>
          <w:b/>
          <w:sz w:val="18"/>
          <w:szCs w:val="18"/>
        </w:rPr>
        <w:t>zdravotních služeb poskytovaných v oboru všeobecné praktické lékařství</w:t>
      </w:r>
      <w:r w:rsidRPr="00547FAB">
        <w:rPr>
          <w:rFonts w:ascii="Arial Narrow" w:hAnsi="Arial Narrow"/>
          <w:sz w:val="18"/>
          <w:szCs w:val="18"/>
        </w:rPr>
        <w:t xml:space="preserve"> </w:t>
      </w:r>
      <w:r w:rsidRPr="00547FAB">
        <w:rPr>
          <w:rFonts w:ascii="Arial Narrow" w:hAnsi="Arial Narrow" w:cs="Arial"/>
          <w:sz w:val="18"/>
          <w:szCs w:val="18"/>
        </w:rPr>
        <w:t xml:space="preserve">hrazených z veřejného zdravotního pojištění a poskytnutých </w:t>
      </w:r>
      <w:r w:rsidRPr="00547FAB">
        <w:rPr>
          <w:rFonts w:ascii="Arial Narrow" w:hAnsi="Arial Narrow" w:cs="Arial"/>
          <w:b/>
          <w:sz w:val="18"/>
          <w:szCs w:val="18"/>
        </w:rPr>
        <w:t>v roce 201</w:t>
      </w:r>
      <w:r w:rsidR="00833A8D" w:rsidRPr="00547FAB">
        <w:rPr>
          <w:rFonts w:ascii="Arial Narrow" w:hAnsi="Arial Narrow" w:cs="Arial"/>
          <w:b/>
          <w:sz w:val="18"/>
          <w:szCs w:val="18"/>
        </w:rPr>
        <w:t>9</w:t>
      </w:r>
      <w:r w:rsidRPr="00547FAB">
        <w:rPr>
          <w:rFonts w:ascii="Arial Narrow" w:hAnsi="Arial Narrow" w:cs="Arial"/>
          <w:sz w:val="18"/>
          <w:szCs w:val="18"/>
        </w:rPr>
        <w:t xml:space="preserve"> Poskytovatelem pojištěncům Zdravotní pojišťovny a pojištěncům z ostatních členských států Evropské unie, Evropského hospodářského prostoru a Švýcarska podle příslušných předpisů Evropské unie</w:t>
      </w:r>
      <w:r w:rsidRPr="00547FAB">
        <w:rPr>
          <w:rFonts w:ascii="Arial Narrow" w:hAnsi="Arial Narrow" w:cs="Arial"/>
          <w:sz w:val="18"/>
          <w:szCs w:val="18"/>
          <w:vertAlign w:val="superscript"/>
        </w:rPr>
        <w:t xml:space="preserve"> </w:t>
      </w:r>
      <w:r w:rsidRPr="00547FAB">
        <w:rPr>
          <w:rFonts w:ascii="Arial Narrow" w:hAnsi="Arial Narrow" w:cs="Arial"/>
          <w:sz w:val="18"/>
          <w:szCs w:val="18"/>
        </w:rPr>
        <w:t>a pojištěncům dalších států, se kterými má Česká republika uzavřeny mezinárodní smlouvy o sociálním zabezpečení</w:t>
      </w:r>
      <w:r w:rsidRPr="00547FAB">
        <w:rPr>
          <w:rFonts w:ascii="Arial Narrow" w:hAnsi="Arial Narrow" w:cs="Arial"/>
          <w:sz w:val="18"/>
          <w:szCs w:val="18"/>
          <w:vertAlign w:val="superscript"/>
        </w:rPr>
        <w:t xml:space="preserve"> </w:t>
      </w:r>
      <w:r w:rsidRPr="00547FAB">
        <w:rPr>
          <w:rFonts w:ascii="Arial Narrow" w:hAnsi="Arial Narrow" w:cs="Arial"/>
          <w:sz w:val="18"/>
          <w:szCs w:val="18"/>
        </w:rPr>
        <w:t>vztahující se i na oblast zdravotní</w:t>
      </w:r>
      <w:r w:rsidRPr="00547FAB">
        <w:rPr>
          <w:rFonts w:ascii="Arial Narrow" w:hAnsi="Arial Narrow" w:cs="Arial"/>
          <w:sz w:val="18"/>
          <w:szCs w:val="18"/>
          <w:vertAlign w:val="superscript"/>
        </w:rPr>
        <w:t xml:space="preserve"> </w:t>
      </w:r>
      <w:r w:rsidRPr="00547FAB">
        <w:rPr>
          <w:rFonts w:ascii="Arial Narrow" w:hAnsi="Arial Narrow" w:cs="Arial"/>
          <w:sz w:val="18"/>
          <w:szCs w:val="18"/>
        </w:rPr>
        <w:t>péče (dále jen „</w:t>
      </w:r>
      <w:r w:rsidR="00F832F0" w:rsidRPr="00547FAB">
        <w:rPr>
          <w:rFonts w:ascii="Arial Narrow" w:hAnsi="Arial Narrow" w:cs="Arial"/>
          <w:sz w:val="18"/>
          <w:szCs w:val="18"/>
        </w:rPr>
        <w:t>Z</w:t>
      </w:r>
      <w:r w:rsidRPr="00547FAB">
        <w:rPr>
          <w:rFonts w:ascii="Arial Narrow" w:hAnsi="Arial Narrow" w:cs="Arial"/>
          <w:sz w:val="18"/>
          <w:szCs w:val="18"/>
        </w:rPr>
        <w:t>ahraniční pojištěnec“).</w:t>
      </w:r>
    </w:p>
    <w:p w14:paraId="7E01F55A" w14:textId="77777777" w:rsidR="00D53920" w:rsidRPr="00547FAB" w:rsidRDefault="00D53920" w:rsidP="00D53920">
      <w:pPr>
        <w:pStyle w:val="Zkladntext"/>
        <w:numPr>
          <w:ilvl w:val="0"/>
          <w:numId w:val="11"/>
        </w:numPr>
        <w:rPr>
          <w:rFonts w:ascii="Arial Narrow" w:hAnsi="Arial Narrow" w:cs="Arial"/>
          <w:sz w:val="18"/>
          <w:szCs w:val="18"/>
        </w:rPr>
      </w:pPr>
      <w:r w:rsidRPr="00547FAB">
        <w:rPr>
          <w:rFonts w:ascii="Arial Narrow" w:hAnsi="Arial Narrow" w:cs="Arial"/>
          <w:sz w:val="18"/>
          <w:szCs w:val="18"/>
        </w:rPr>
        <w:t xml:space="preserve">Smluvní strany se zavazují postupovat při vyúčtování a úhradě zdravotních služeb poskytnutých </w:t>
      </w:r>
      <w:r w:rsidR="00F832F0" w:rsidRPr="00547FAB">
        <w:rPr>
          <w:rFonts w:ascii="Arial Narrow" w:hAnsi="Arial Narrow" w:cs="Arial"/>
          <w:sz w:val="18"/>
          <w:szCs w:val="18"/>
        </w:rPr>
        <w:t>Z</w:t>
      </w:r>
      <w:r w:rsidRPr="00547FAB">
        <w:rPr>
          <w:rFonts w:ascii="Arial Narrow" w:hAnsi="Arial Narrow" w:cs="Arial"/>
          <w:sz w:val="18"/>
          <w:szCs w:val="18"/>
        </w:rPr>
        <w:t xml:space="preserve">ahraničním pojištěncům podle nařízení Evropského parlamentu a Rady (ES) č. 883/2004 o koordinaci systémů sociálního zabezpečení a č. 987/2009, kterým se stanoví prováděcí pravidla k nařízení (ES) č. 883/2004 o koordinaci systémů sociálního zabezpečení, a metodického pokynu Ministerstva zdravotnictví ČR, publikovaného ve Věstníku Ministerstva zdravotnictví ČR, částka 6, z května 2010. </w:t>
      </w:r>
    </w:p>
    <w:p w14:paraId="7E01F55B" w14:textId="77777777" w:rsidR="00D53920" w:rsidRPr="00547FAB" w:rsidRDefault="00D53920" w:rsidP="00D53920">
      <w:pPr>
        <w:pStyle w:val="Zkladntext"/>
        <w:numPr>
          <w:ilvl w:val="0"/>
          <w:numId w:val="11"/>
        </w:numPr>
        <w:rPr>
          <w:rFonts w:ascii="Arial Narrow" w:hAnsi="Arial Narrow" w:cs="Arial"/>
          <w:sz w:val="18"/>
          <w:szCs w:val="18"/>
        </w:rPr>
      </w:pPr>
      <w:r w:rsidRPr="00547FAB">
        <w:rPr>
          <w:rFonts w:ascii="Arial Narrow" w:hAnsi="Arial Narrow" w:cs="Arial"/>
          <w:sz w:val="18"/>
          <w:szCs w:val="18"/>
        </w:rPr>
        <w:t xml:space="preserve">V návaznosti na článek I. odst. 2 tohoto Dodatku se Poskytovatel zavazuje, že vykáže zdravotní služby poskytnuté </w:t>
      </w:r>
      <w:r w:rsidR="00F832F0" w:rsidRPr="00547FAB">
        <w:rPr>
          <w:rFonts w:ascii="Arial Narrow" w:hAnsi="Arial Narrow" w:cs="Arial"/>
          <w:sz w:val="18"/>
          <w:szCs w:val="18"/>
        </w:rPr>
        <w:t>Z</w:t>
      </w:r>
      <w:r w:rsidRPr="00547FAB">
        <w:rPr>
          <w:rFonts w:ascii="Arial Narrow" w:hAnsi="Arial Narrow" w:cs="Arial"/>
          <w:sz w:val="18"/>
          <w:szCs w:val="18"/>
        </w:rPr>
        <w:t>ahraničním pojištěncům v souladu s</w:t>
      </w:r>
      <w:r w:rsidR="00F832F0" w:rsidRPr="00547FAB">
        <w:rPr>
          <w:rFonts w:ascii="Arial Narrow" w:hAnsi="Arial Narrow" w:cs="Arial"/>
          <w:sz w:val="18"/>
          <w:szCs w:val="18"/>
        </w:rPr>
        <w:t xml:space="preserve"> uvedeným </w:t>
      </w:r>
      <w:r w:rsidRPr="00547FAB">
        <w:rPr>
          <w:rFonts w:ascii="Arial Narrow" w:hAnsi="Arial Narrow" w:cs="Arial"/>
          <w:sz w:val="18"/>
          <w:szCs w:val="18"/>
        </w:rPr>
        <w:t>metodickým pokynem Ministerstva zdravotnictví</w:t>
      </w:r>
      <w:r w:rsidR="00F832F0" w:rsidRPr="00547FAB">
        <w:rPr>
          <w:rFonts w:ascii="Arial Narrow" w:hAnsi="Arial Narrow" w:cs="Arial"/>
          <w:sz w:val="18"/>
          <w:szCs w:val="18"/>
        </w:rPr>
        <w:t xml:space="preserve"> ČR</w:t>
      </w:r>
      <w:r w:rsidRPr="00547FAB">
        <w:rPr>
          <w:rFonts w:ascii="Arial Narrow" w:hAnsi="Arial Narrow" w:cs="Arial"/>
          <w:sz w:val="18"/>
          <w:szCs w:val="18"/>
        </w:rPr>
        <w:t xml:space="preserve">, a to samostatnou fakturou a dávkou. Přílohou vyúčtování musí být vyplněné „Potvrzení o nároku cizího pojištěnce“ s tím, že „Potvrzení o nároku cizího pojištěnce“ není nutné dokládat v případě, že se </w:t>
      </w:r>
      <w:r w:rsidR="00F832F0" w:rsidRPr="00547FAB">
        <w:rPr>
          <w:rFonts w:ascii="Arial Narrow" w:hAnsi="Arial Narrow" w:cs="Arial"/>
          <w:sz w:val="18"/>
          <w:szCs w:val="18"/>
        </w:rPr>
        <w:t>Z</w:t>
      </w:r>
      <w:r w:rsidRPr="00547FAB">
        <w:rPr>
          <w:rFonts w:ascii="Arial Narrow" w:hAnsi="Arial Narrow" w:cs="Arial"/>
          <w:sz w:val="18"/>
          <w:szCs w:val="18"/>
        </w:rPr>
        <w:t>ahraniční pojištěnec prokázal platným „Potvrzením o registraci“ vydaným Zdravotní pojišťovnou.</w:t>
      </w:r>
    </w:p>
    <w:p w14:paraId="7E01F55C" w14:textId="77777777" w:rsidR="0063088D" w:rsidRPr="00547FAB" w:rsidRDefault="0063088D" w:rsidP="0063088D">
      <w:pPr>
        <w:pStyle w:val="Zkladntext"/>
        <w:widowControl w:val="0"/>
        <w:suppressAutoHyphens/>
        <w:rPr>
          <w:rFonts w:ascii="Arial Narrow" w:hAnsi="Arial Narrow"/>
          <w:sz w:val="18"/>
          <w:szCs w:val="18"/>
        </w:rPr>
      </w:pPr>
    </w:p>
    <w:p w14:paraId="7E01F55D" w14:textId="77777777" w:rsidR="00F25AAF" w:rsidRPr="00547FAB" w:rsidRDefault="00F25AAF" w:rsidP="00F25AAF">
      <w:pPr>
        <w:pStyle w:val="Zkladntext"/>
        <w:jc w:val="center"/>
        <w:rPr>
          <w:rFonts w:ascii="Arial Narrow" w:hAnsi="Arial Narrow"/>
          <w:b/>
          <w:bCs/>
          <w:sz w:val="18"/>
          <w:szCs w:val="18"/>
        </w:rPr>
      </w:pPr>
      <w:r w:rsidRPr="00547FAB">
        <w:rPr>
          <w:rFonts w:ascii="Arial Narrow" w:hAnsi="Arial Narrow"/>
          <w:b/>
          <w:bCs/>
          <w:sz w:val="18"/>
          <w:szCs w:val="18"/>
        </w:rPr>
        <w:t>II.</w:t>
      </w:r>
    </w:p>
    <w:p w14:paraId="7E01F55E" w14:textId="06073B1A" w:rsidR="00F25AAF" w:rsidRPr="00547FAB" w:rsidRDefault="00F25AAF" w:rsidP="00F25AAF">
      <w:pPr>
        <w:pStyle w:val="Zkladntext"/>
        <w:widowControl w:val="0"/>
        <w:numPr>
          <w:ilvl w:val="0"/>
          <w:numId w:val="12"/>
        </w:numPr>
        <w:suppressAutoHyphens/>
        <w:rPr>
          <w:rFonts w:ascii="Arial Narrow" w:eastAsia="Arial" w:hAnsi="Arial Narrow" w:cs="Arial"/>
          <w:b/>
          <w:bCs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Smluvní strany se dohodly, že zdravotní služby poskytnuté Poskytovatelem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budou v roce 201</w:t>
      </w:r>
      <w:r w:rsidR="00833A8D" w:rsidRPr="00547FAB">
        <w:rPr>
          <w:rFonts w:ascii="Arial Narrow" w:eastAsia="Arial" w:hAnsi="Arial Narrow" w:cs="Arial"/>
          <w:b/>
          <w:bCs/>
          <w:sz w:val="18"/>
          <w:szCs w:val="18"/>
        </w:rPr>
        <w:t>9</w:t>
      </w:r>
      <w:r w:rsidR="008A4141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hrazeny diferencovanou kombinovanou kapitačně výkonovou platbou.</w:t>
      </w:r>
    </w:p>
    <w:p w14:paraId="7E01F55F" w14:textId="77777777" w:rsidR="00F25AAF" w:rsidRPr="00547FAB" w:rsidRDefault="00F25AAF" w:rsidP="00F25AAF">
      <w:pPr>
        <w:pStyle w:val="Zkladntext"/>
        <w:widowControl w:val="0"/>
        <w:numPr>
          <w:ilvl w:val="0"/>
          <w:numId w:val="12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>Při uplatnění kombinované kapitačně výkonové platby bude akceptován dohodnutý postup pro pořizování, předávání a vyhodnocování dokladů v souladu s Metodikou pro pořizování a předávání dokladů v platném znění (dále jen "Metodika") a Pravidly pro vyhodnocování dokladů v platném znění (dále jen "Pravidla") a jednotn</w:t>
      </w:r>
      <w:r w:rsidR="006A0503" w:rsidRPr="00547FAB">
        <w:rPr>
          <w:rFonts w:ascii="Arial Narrow" w:eastAsia="Arial" w:hAnsi="Arial Narrow" w:cs="Arial"/>
          <w:sz w:val="18"/>
          <w:szCs w:val="18"/>
        </w:rPr>
        <w:t>ým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datov</w:t>
      </w:r>
      <w:r w:rsidR="006A0503" w:rsidRPr="00547FAB">
        <w:rPr>
          <w:rFonts w:ascii="Arial Narrow" w:eastAsia="Arial" w:hAnsi="Arial Narrow" w:cs="Arial"/>
          <w:sz w:val="18"/>
          <w:szCs w:val="18"/>
        </w:rPr>
        <w:t>ým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rozhraní</w:t>
      </w:r>
      <w:r w:rsidR="006A0503" w:rsidRPr="00547FAB">
        <w:rPr>
          <w:rFonts w:ascii="Arial Narrow" w:eastAsia="Arial" w:hAnsi="Arial Narrow" w:cs="Arial"/>
          <w:sz w:val="18"/>
          <w:szCs w:val="18"/>
        </w:rPr>
        <w:t>m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vytvářenými Všeobecnou zdravotní pojišťovnou České republiky (</w:t>
      </w:r>
      <w:r w:rsidR="00E53AFA" w:rsidRPr="00547FAB">
        <w:rPr>
          <w:rFonts w:ascii="Arial Narrow" w:eastAsia="Arial" w:hAnsi="Arial Narrow" w:cs="Arial"/>
          <w:sz w:val="18"/>
          <w:szCs w:val="18"/>
        </w:rPr>
        <w:t>dále jen „</w:t>
      </w:r>
      <w:r w:rsidRPr="00547FAB">
        <w:rPr>
          <w:rFonts w:ascii="Arial Narrow" w:eastAsia="Arial" w:hAnsi="Arial Narrow" w:cs="Arial"/>
          <w:sz w:val="18"/>
          <w:szCs w:val="18"/>
        </w:rPr>
        <w:t>VZP ČR</w:t>
      </w:r>
      <w:r w:rsidR="00E53AFA" w:rsidRPr="00547FAB">
        <w:rPr>
          <w:rFonts w:ascii="Arial Narrow" w:eastAsia="Arial" w:hAnsi="Arial Narrow" w:cs="Arial"/>
          <w:sz w:val="18"/>
          <w:szCs w:val="18"/>
        </w:rPr>
        <w:t>“</w:t>
      </w:r>
      <w:r w:rsidRPr="00547FAB">
        <w:rPr>
          <w:rFonts w:ascii="Arial Narrow" w:eastAsia="Arial" w:hAnsi="Arial Narrow" w:cs="Arial"/>
          <w:sz w:val="18"/>
          <w:szCs w:val="18"/>
        </w:rPr>
        <w:t>) v součinnosti se zástupci zdravotních pojišťoven a zástupci profesních sdružení poskytovatelů a vydávaných VZP ČR v platném znění.</w:t>
      </w:r>
    </w:p>
    <w:p w14:paraId="7E01F560" w14:textId="77777777" w:rsidR="00F25AAF" w:rsidRPr="00547FAB" w:rsidRDefault="00F25AAF" w:rsidP="00F25AAF">
      <w:pPr>
        <w:pStyle w:val="Zkladntext"/>
        <w:widowControl w:val="0"/>
        <w:numPr>
          <w:ilvl w:val="0"/>
          <w:numId w:val="12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>Vykazování a úhrada zdravotních služeb se provádějí podle platné Metodiky a Pravidel, s výjimkou zdravotních služeb zahrnutých do kapitační platby, které Poskytovatel za registrované pojištěnce nevykazuje.</w:t>
      </w:r>
    </w:p>
    <w:p w14:paraId="7E01F561" w14:textId="7C490E52" w:rsidR="00F25AAF" w:rsidRPr="00547FAB" w:rsidRDefault="00F25AAF" w:rsidP="00F25AAF">
      <w:pPr>
        <w:pStyle w:val="Zkladntext"/>
        <w:widowControl w:val="0"/>
        <w:numPr>
          <w:ilvl w:val="0"/>
          <w:numId w:val="12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Zdravotní služby poskytnuté neregistrovaným pojištěncům se považují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za nepravidelné služby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. Nepravidelné služby uhradí Zdravotní pojišťovna Poskytovateli pouze v případě, že prokazatelně nemohly být poskytnuty registrujícím </w:t>
      </w:r>
      <w:r w:rsidR="00601223" w:rsidRPr="00547FAB">
        <w:rPr>
          <w:rFonts w:ascii="Arial Narrow" w:eastAsia="Arial" w:hAnsi="Arial Narrow" w:cs="Arial"/>
          <w:sz w:val="18"/>
          <w:szCs w:val="18"/>
        </w:rPr>
        <w:t>p</w:t>
      </w:r>
      <w:r w:rsidRPr="00547FAB">
        <w:rPr>
          <w:rFonts w:ascii="Arial Narrow" w:eastAsia="Arial" w:hAnsi="Arial Narrow" w:cs="Arial"/>
          <w:sz w:val="18"/>
          <w:szCs w:val="18"/>
        </w:rPr>
        <w:t>oskytovatelem</w:t>
      </w:r>
      <w:r w:rsidR="00DC10CB" w:rsidRPr="00547FAB">
        <w:rPr>
          <w:rFonts w:ascii="Arial Narrow" w:eastAsia="Arial" w:hAnsi="Arial Narrow" w:cs="Arial"/>
          <w:sz w:val="18"/>
          <w:szCs w:val="18"/>
        </w:rPr>
        <w:t>, nebo se jedná o neodkladn</w:t>
      </w:r>
      <w:r w:rsidR="003F562E">
        <w:rPr>
          <w:rFonts w:ascii="Arial Narrow" w:eastAsia="Arial" w:hAnsi="Arial Narrow" w:cs="Arial"/>
          <w:sz w:val="18"/>
          <w:szCs w:val="18"/>
        </w:rPr>
        <w:t>ou péči</w:t>
      </w:r>
      <w:r w:rsidR="00DC10CB" w:rsidRPr="00547FAB">
        <w:rPr>
          <w:rFonts w:ascii="Arial Narrow" w:eastAsia="Arial" w:hAnsi="Arial Narrow" w:cs="Arial"/>
          <w:sz w:val="18"/>
          <w:szCs w:val="18"/>
        </w:rPr>
        <w:t>.</w:t>
      </w:r>
    </w:p>
    <w:p w14:paraId="7E01F562" w14:textId="77777777" w:rsidR="00F25AAF" w:rsidRPr="00547FAB" w:rsidRDefault="00F25AAF" w:rsidP="00F25AAF">
      <w:pPr>
        <w:pStyle w:val="Zkladntext"/>
        <w:widowControl w:val="0"/>
        <w:numPr>
          <w:ilvl w:val="0"/>
          <w:numId w:val="12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>Zdravotní pojišťovna uhradí v termínech splatnosti dohodnutých ve Smlouvě o poskytování a úhradě zdravotních služeb hrazených z veřejného zdravotního pojištění, případně Smlouvě o poskytování a úhradě zdravotní péče hrazené z veřejného zdravotního pojištění (dále jen „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Smlouva</w:t>
      </w:r>
      <w:r w:rsidRPr="00547FAB">
        <w:rPr>
          <w:rFonts w:ascii="Arial Narrow" w:eastAsia="Arial" w:hAnsi="Arial Narrow" w:cs="Arial"/>
          <w:sz w:val="18"/>
          <w:szCs w:val="18"/>
        </w:rPr>
        <w:t>“) Poskytovateli zdravotní služby hrazené z veřejného zdravotního pojištění (hrazené služby), pokud byly poskytnuty jejím pojištěncům v souladu s obecně závaznými právními předpisy v odbornostech a rozsahu dohodnutých a vymezených v příslušných přílohách Smlouvy a při splnění všech podmínek stanovených Smlouvou a obecně závaznými právními předpisy. Termíny splatnosti dohodnuté ve Smlouvě se v návaznosti na činnost Kapitačního centra upravují tak, že, pokud je termín splatnosti kratší než 6 pracovních dnů po převedení údajů z Kapitačního centra, pak se za termín splatnosti považuje datum převzetí údajů z Kapitačního centra Zdravotní pojišťovnou plus 6 pracovních dnů.</w:t>
      </w:r>
    </w:p>
    <w:p w14:paraId="7E01F563" w14:textId="77777777" w:rsidR="00F25AAF" w:rsidRPr="00547FAB" w:rsidRDefault="00F25AAF" w:rsidP="00F25AAF">
      <w:pPr>
        <w:pStyle w:val="Zkladntext"/>
        <w:widowControl w:val="0"/>
        <w:numPr>
          <w:ilvl w:val="0"/>
          <w:numId w:val="12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Základním fakturačním obdobím je kalendářní měsíc. </w:t>
      </w:r>
    </w:p>
    <w:p w14:paraId="7E01F564" w14:textId="77777777" w:rsidR="00F25AAF" w:rsidRPr="00547FAB" w:rsidRDefault="00F25AAF" w:rsidP="00F25AAF">
      <w:pPr>
        <w:pStyle w:val="Zkladntext"/>
        <w:widowControl w:val="0"/>
        <w:numPr>
          <w:ilvl w:val="0"/>
          <w:numId w:val="12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Kombinovaná kapitačně výkonová platba je součtem kapitační platby za </w:t>
      </w:r>
      <w:r w:rsidR="00501D8F" w:rsidRPr="00547FAB">
        <w:rPr>
          <w:rFonts w:ascii="Arial Narrow" w:eastAsia="Arial" w:hAnsi="Arial Narrow" w:cs="Arial"/>
          <w:sz w:val="18"/>
          <w:szCs w:val="18"/>
        </w:rPr>
        <w:t xml:space="preserve">Poskytovatelem </w:t>
      </w:r>
      <w:r w:rsidRPr="00547FAB">
        <w:rPr>
          <w:rFonts w:ascii="Arial Narrow" w:eastAsia="Arial" w:hAnsi="Arial Narrow" w:cs="Arial"/>
          <w:sz w:val="18"/>
          <w:szCs w:val="18"/>
        </w:rPr>
        <w:t>registrované pojištěnce a platby za zdravotní služby hrazené Poskytovateli nad rámec kapitační platby. Výpočet kapitační platby za registrované pojištěnce se provádí v souladu s Pravidly.</w:t>
      </w:r>
    </w:p>
    <w:p w14:paraId="7E01F565" w14:textId="77777777" w:rsidR="00F25AAF" w:rsidRPr="00547FAB" w:rsidRDefault="00F25AAF" w:rsidP="00F25AAF">
      <w:pPr>
        <w:pStyle w:val="Zkladntext"/>
        <w:widowControl w:val="0"/>
        <w:numPr>
          <w:ilvl w:val="0"/>
          <w:numId w:val="12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Poskytovatel se zavazuje předávat doklady o změnách v registraci pojištěnců nejpozději do 5. kalendářního dne měsíce, následujícího po měsíci, za který jsou nové registrace pojištěnců Zdravotní pojišťovny předávány. Na přihlášce registrovaných pojištěnců je </w:t>
      </w:r>
      <w:r w:rsidR="00501D8F" w:rsidRPr="00547FAB">
        <w:rPr>
          <w:rFonts w:ascii="Arial Narrow" w:eastAsia="Arial" w:hAnsi="Arial Narrow" w:cs="Arial"/>
          <w:sz w:val="18"/>
          <w:szCs w:val="18"/>
        </w:rPr>
        <w:t xml:space="preserve">Poskytovatel </w:t>
      </w:r>
      <w:r w:rsidRPr="00547FAB">
        <w:rPr>
          <w:rFonts w:ascii="Arial Narrow" w:eastAsia="Arial" w:hAnsi="Arial Narrow" w:cs="Arial"/>
          <w:sz w:val="18"/>
          <w:szCs w:val="18"/>
        </w:rPr>
        <w:t>povinen uvádět odbornost pracoviště. Doklady o změnách v registraci pojištěnců předané po termínu uvedeném v předchozí větě nebudou podnětem pro přepočet výše kapitační platby.</w:t>
      </w:r>
    </w:p>
    <w:p w14:paraId="7E01F566" w14:textId="417E339C" w:rsidR="00F25AAF" w:rsidRPr="00547FAB" w:rsidRDefault="00F25AAF" w:rsidP="00F25AAF">
      <w:pPr>
        <w:pStyle w:val="Zkladntext"/>
        <w:widowControl w:val="0"/>
        <w:numPr>
          <w:ilvl w:val="0"/>
          <w:numId w:val="12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Poskytovatel ztrácí v příslušném kalendářním měsíci nárok na úhradu kapitační platbou, přeruší-li poskytování zdravotních služeb na dobu delší než 3 pracovní dny v kalendářním měsíci bez zajištění poskytování zdravotních služeb pro jím registrované pojištěnce v dostupném zdravotnickém zařízení jiného poskytovatele. Toto zajištění je povinen Poskytovatel na vyžádání průkazně doložit. Přerušení poskytování hrazených služeb je Poskytovatel povinen písemně oznámit Zdravotní </w:t>
      </w:r>
      <w:r w:rsidRPr="00547FAB">
        <w:rPr>
          <w:rFonts w:ascii="Arial Narrow" w:eastAsia="Arial" w:hAnsi="Arial Narrow" w:cs="Arial"/>
          <w:sz w:val="18"/>
          <w:szCs w:val="18"/>
        </w:rPr>
        <w:lastRenderedPageBreak/>
        <w:t xml:space="preserve">pojišťovně a </w:t>
      </w:r>
      <w:r w:rsidR="00721977" w:rsidRPr="00547FAB">
        <w:rPr>
          <w:rFonts w:ascii="Arial Narrow" w:eastAsia="Arial" w:hAnsi="Arial Narrow" w:cs="Arial"/>
          <w:color w:val="auto"/>
          <w:sz w:val="18"/>
          <w:szCs w:val="18"/>
        </w:rPr>
        <w:t>zpřístupnit tuto informaci</w:t>
      </w:r>
      <w:r w:rsidRPr="00547FAB">
        <w:rPr>
          <w:rFonts w:ascii="Arial Narrow" w:eastAsia="Arial" w:hAnsi="Arial Narrow" w:cs="Arial"/>
          <w:color w:val="auto"/>
          <w:sz w:val="18"/>
          <w:szCs w:val="18"/>
        </w:rPr>
        <w:t xml:space="preserve"> 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pojištěncům. Zastupováním není poskytování hrazených služeb přerušeno, a proto zastupující poskytovatel není oprávněn za takto převzaté registrované pojištěnce vykazovat zdravotní služby zahrnuté do kapitační platby. Vykáže-li zastupující poskytovatel takovéto služby, Zdravotní pojišťovna je neuhradí, a pokud je uhradila, je oprávněna uhrazenou částku započíst proti dalším platbám Poskytovateli nebo požadovat, aby ji Poskytovatel uhradil. </w:t>
      </w:r>
    </w:p>
    <w:p w14:paraId="7E01F567" w14:textId="77777777" w:rsidR="00F25AAF" w:rsidRPr="00547FAB" w:rsidRDefault="00F25AAF" w:rsidP="00F25AAF">
      <w:pPr>
        <w:pStyle w:val="Zkladntext"/>
        <w:widowControl w:val="0"/>
        <w:numPr>
          <w:ilvl w:val="0"/>
          <w:numId w:val="12"/>
        </w:numPr>
        <w:suppressAutoHyphens/>
        <w:rPr>
          <w:rFonts w:ascii="Arial Narrow" w:eastAsia="Arial" w:hAnsi="Arial Narrow" w:cs="Arial"/>
          <w:b/>
          <w:bCs/>
          <w:sz w:val="18"/>
          <w:szCs w:val="18"/>
        </w:rPr>
      </w:pPr>
      <w:r w:rsidRPr="00547FAB">
        <w:rPr>
          <w:rFonts w:ascii="Arial Narrow" w:eastAsia="Arial" w:hAnsi="Arial Narrow" w:cs="Arial"/>
          <w:b/>
          <w:bCs/>
          <w:sz w:val="18"/>
          <w:szCs w:val="18"/>
        </w:rPr>
        <w:t>Výše kapitační platby a hodnota bodu se sjednávají ke dni účinnosti tohoto Dodatku takto:</w:t>
      </w:r>
    </w:p>
    <w:p w14:paraId="7E01F568" w14:textId="19B74E03" w:rsidR="00887CBD" w:rsidRPr="00547FAB" w:rsidRDefault="00887CBD" w:rsidP="00887CBD">
      <w:pPr>
        <w:pStyle w:val="Zkladntext"/>
        <w:widowControl w:val="0"/>
        <w:numPr>
          <w:ilvl w:val="1"/>
          <w:numId w:val="12"/>
        </w:numPr>
        <w:suppressAutoHyphens/>
        <w:ind w:left="638" w:hanging="358"/>
        <w:rPr>
          <w:rFonts w:ascii="Arial Narrow" w:eastAsia="Arial" w:hAnsi="Arial Narrow" w:cs="Arial"/>
          <w:b/>
          <w:bCs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>Základní kapitační sazba bude v roce 201</w:t>
      </w:r>
      <w:r w:rsidR="00833A8D" w:rsidRPr="00547FAB">
        <w:rPr>
          <w:rFonts w:ascii="Arial Narrow" w:eastAsia="Arial" w:hAnsi="Arial Narrow" w:cs="Arial"/>
          <w:sz w:val="18"/>
          <w:szCs w:val="18"/>
        </w:rPr>
        <w:t>9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činit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4</w:t>
      </w:r>
      <w:r w:rsidR="00142E09" w:rsidRPr="00547FAB">
        <w:rPr>
          <w:rFonts w:ascii="Arial Narrow" w:eastAsia="Arial" w:hAnsi="Arial Narrow" w:cs="Arial"/>
          <w:b/>
          <w:bCs/>
          <w:sz w:val="18"/>
          <w:szCs w:val="18"/>
        </w:rPr>
        <w:t>8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,00 Kč na jednoho </w:t>
      </w:r>
      <w:r w:rsidR="004A326E" w:rsidRPr="00547FAB">
        <w:rPr>
          <w:rFonts w:ascii="Arial Narrow" w:eastAsia="Arial" w:hAnsi="Arial Narrow" w:cs="Arial"/>
          <w:b/>
          <w:bCs/>
          <w:sz w:val="18"/>
          <w:szCs w:val="18"/>
        </w:rPr>
        <w:t>Poskytovatele</w:t>
      </w:r>
      <w:r w:rsidR="00501D8F" w:rsidRPr="00547FAB">
        <w:rPr>
          <w:rFonts w:ascii="Arial Narrow" w:eastAsia="Arial" w:hAnsi="Arial Narrow" w:cs="Arial"/>
          <w:b/>
          <w:bCs/>
          <w:sz w:val="18"/>
          <w:szCs w:val="18"/>
        </w:rPr>
        <w:t>m</w:t>
      </w:r>
      <w:r w:rsidR="004A326E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registrovaného pojištěnce Zdravotní pojišťovny na kalendářní měsíc.</w:t>
      </w:r>
    </w:p>
    <w:p w14:paraId="7E01F569" w14:textId="1B2F0B6B" w:rsidR="00887CBD" w:rsidRPr="00547FAB" w:rsidRDefault="00887CBD" w:rsidP="00887CBD">
      <w:pPr>
        <w:pStyle w:val="Zkladntext"/>
        <w:widowControl w:val="0"/>
        <w:numPr>
          <w:ilvl w:val="1"/>
          <w:numId w:val="12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K základní kapitační sazbě stanovené v </w:t>
      </w:r>
      <w:r w:rsidR="0005139E" w:rsidRPr="00547FAB">
        <w:rPr>
          <w:rFonts w:ascii="Arial Narrow" w:eastAsia="Arial" w:hAnsi="Arial Narrow" w:cs="Arial"/>
          <w:sz w:val="18"/>
          <w:szCs w:val="18"/>
        </w:rPr>
        <w:t>odst.</w:t>
      </w:r>
      <w:r w:rsidR="001E5064"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proofErr w:type="gramStart"/>
      <w:r w:rsidRPr="00547FAB">
        <w:rPr>
          <w:rFonts w:ascii="Arial Narrow" w:eastAsia="Arial" w:hAnsi="Arial Narrow" w:cs="Arial"/>
          <w:sz w:val="18"/>
          <w:szCs w:val="18"/>
        </w:rPr>
        <w:t>10.1</w:t>
      </w:r>
      <w:r w:rsidR="0005139E" w:rsidRPr="00547FAB">
        <w:rPr>
          <w:rFonts w:ascii="Arial Narrow" w:eastAsia="Arial" w:hAnsi="Arial Narrow" w:cs="Arial"/>
          <w:sz w:val="18"/>
          <w:szCs w:val="18"/>
        </w:rPr>
        <w:t>.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bude</w:t>
      </w:r>
      <w:proofErr w:type="gramEnd"/>
      <w:r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r w:rsidR="0005139E" w:rsidRPr="00547FAB">
        <w:rPr>
          <w:rFonts w:ascii="Arial Narrow" w:eastAsia="Arial" w:hAnsi="Arial Narrow" w:cs="Arial"/>
          <w:sz w:val="18"/>
          <w:szCs w:val="18"/>
        </w:rPr>
        <w:t xml:space="preserve">Poskytovateli </w:t>
      </w:r>
      <w:r w:rsidRPr="00547FAB">
        <w:rPr>
          <w:rFonts w:ascii="Arial Narrow" w:eastAsia="Arial" w:hAnsi="Arial Narrow" w:cs="Arial"/>
          <w:sz w:val="18"/>
          <w:szCs w:val="18"/>
        </w:rPr>
        <w:t>přiznán pro rok 201</w:t>
      </w:r>
      <w:r w:rsidR="00833A8D" w:rsidRPr="00547FAB">
        <w:rPr>
          <w:rFonts w:ascii="Arial Narrow" w:eastAsia="Arial" w:hAnsi="Arial Narrow" w:cs="Arial"/>
          <w:sz w:val="18"/>
          <w:szCs w:val="18"/>
        </w:rPr>
        <w:t>9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příplatek ve výši </w:t>
      </w:r>
      <w:r w:rsidR="00833A8D" w:rsidRPr="00547FAB">
        <w:rPr>
          <w:rFonts w:ascii="Arial Narrow" w:eastAsia="Arial" w:hAnsi="Arial Narrow" w:cs="Arial"/>
          <w:b/>
          <w:bCs/>
          <w:sz w:val="18"/>
          <w:szCs w:val="18"/>
        </w:rPr>
        <w:t>8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,00 Kč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na jednoho </w:t>
      </w:r>
      <w:r w:rsidR="004A326E" w:rsidRPr="00547FAB">
        <w:rPr>
          <w:rFonts w:ascii="Arial Narrow" w:eastAsia="Arial" w:hAnsi="Arial Narrow" w:cs="Arial"/>
          <w:sz w:val="18"/>
          <w:szCs w:val="18"/>
        </w:rPr>
        <w:t>Poskytovatele</w:t>
      </w:r>
      <w:r w:rsidR="00501D8F" w:rsidRPr="00547FAB">
        <w:rPr>
          <w:rFonts w:ascii="Arial Narrow" w:eastAsia="Arial" w:hAnsi="Arial Narrow" w:cs="Arial"/>
          <w:sz w:val="18"/>
          <w:szCs w:val="18"/>
        </w:rPr>
        <w:t>m</w:t>
      </w:r>
      <w:r w:rsidR="004A326E"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r w:rsidRPr="00547FAB">
        <w:rPr>
          <w:rFonts w:ascii="Arial Narrow" w:eastAsia="Arial" w:hAnsi="Arial Narrow" w:cs="Arial"/>
          <w:sz w:val="18"/>
          <w:szCs w:val="18"/>
        </w:rPr>
        <w:t>registrovaného pojištěnce Zdravotní pojišťovny na kalendářní měsíc, pokud poskytuje zdravotní služby v rozsahu alespoň 30 ordinačních hodin rozložených do 5 pracovních dnů týdně, přičemž alespoň jeden den v týdnu má ordinační hodiny prodlouženy do 18 hodin a umožňuje pojištěncům objednat se alespoň dva dny v týdnu na pevně stanovenou hodinu. Tento příplatek může být po předchozím posouzení a zadokumentování přiznán, i pokud s ohledem na specifické místní podmínky je dostupnost zdravotních služeb srovnatelná</w:t>
      </w:r>
      <w:r w:rsidR="00F31025" w:rsidRPr="00547FAB">
        <w:rPr>
          <w:rFonts w:ascii="Arial Narrow" w:eastAsia="Arial" w:hAnsi="Arial Narrow" w:cs="Arial"/>
          <w:sz w:val="18"/>
          <w:szCs w:val="18"/>
        </w:rPr>
        <w:t>, a to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i při odlišných ordinačních hodinách.</w:t>
      </w:r>
    </w:p>
    <w:p w14:paraId="7E01F56A" w14:textId="76D5C4C9" w:rsidR="00887CBD" w:rsidRPr="00547FAB" w:rsidRDefault="00887CBD" w:rsidP="00887CBD">
      <w:pPr>
        <w:pStyle w:val="Zkladntext"/>
        <w:widowControl w:val="0"/>
        <w:numPr>
          <w:ilvl w:val="1"/>
          <w:numId w:val="12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K základní kapitační sazbě stanovené v </w:t>
      </w:r>
      <w:r w:rsidR="0005139E" w:rsidRPr="00547FAB">
        <w:rPr>
          <w:rFonts w:ascii="Arial Narrow" w:eastAsia="Arial" w:hAnsi="Arial Narrow" w:cs="Arial"/>
          <w:sz w:val="18"/>
          <w:szCs w:val="18"/>
        </w:rPr>
        <w:t>odst.</w:t>
      </w:r>
      <w:r w:rsidR="001E5064"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proofErr w:type="gramStart"/>
      <w:r w:rsidRPr="00547FAB">
        <w:rPr>
          <w:rFonts w:ascii="Arial Narrow" w:eastAsia="Arial" w:hAnsi="Arial Narrow" w:cs="Arial"/>
          <w:sz w:val="18"/>
          <w:szCs w:val="18"/>
        </w:rPr>
        <w:t>10.1</w:t>
      </w:r>
      <w:r w:rsidR="0005139E" w:rsidRPr="00547FAB">
        <w:rPr>
          <w:rFonts w:ascii="Arial Narrow" w:eastAsia="Arial" w:hAnsi="Arial Narrow" w:cs="Arial"/>
          <w:sz w:val="18"/>
          <w:szCs w:val="18"/>
        </w:rPr>
        <w:t>.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bude</w:t>
      </w:r>
      <w:proofErr w:type="gramEnd"/>
      <w:r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r w:rsidR="0005139E" w:rsidRPr="00547FAB">
        <w:rPr>
          <w:rFonts w:ascii="Arial Narrow" w:eastAsia="Arial" w:hAnsi="Arial Narrow" w:cs="Arial"/>
          <w:sz w:val="18"/>
          <w:szCs w:val="18"/>
        </w:rPr>
        <w:t xml:space="preserve">Poskytovateli </w:t>
      </w:r>
      <w:r w:rsidRPr="00547FAB">
        <w:rPr>
          <w:rFonts w:ascii="Arial Narrow" w:eastAsia="Arial" w:hAnsi="Arial Narrow" w:cs="Arial"/>
          <w:sz w:val="18"/>
          <w:szCs w:val="18"/>
        </w:rPr>
        <w:t>přiznán pro rok 201</w:t>
      </w:r>
      <w:r w:rsidR="00833A8D" w:rsidRPr="00547FAB">
        <w:rPr>
          <w:rFonts w:ascii="Arial Narrow" w:eastAsia="Arial" w:hAnsi="Arial Narrow" w:cs="Arial"/>
          <w:sz w:val="18"/>
          <w:szCs w:val="18"/>
        </w:rPr>
        <w:t>9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příplatek ve výši 2,00 Kč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na jednoho </w:t>
      </w:r>
      <w:r w:rsidR="00501D8F" w:rsidRPr="00547FAB">
        <w:rPr>
          <w:rFonts w:ascii="Arial Narrow" w:eastAsia="Arial" w:hAnsi="Arial Narrow" w:cs="Arial"/>
          <w:sz w:val="18"/>
          <w:szCs w:val="18"/>
        </w:rPr>
        <w:t xml:space="preserve">Poskytovatelem </w:t>
      </w:r>
      <w:r w:rsidRPr="00547FAB">
        <w:rPr>
          <w:rFonts w:ascii="Arial Narrow" w:eastAsia="Arial" w:hAnsi="Arial Narrow" w:cs="Arial"/>
          <w:sz w:val="18"/>
          <w:szCs w:val="18"/>
        </w:rPr>
        <w:t>registrovaného pojištěnce Zdravotní pojišťovny na kalendářní měsíc, pokud poskytuje zdravotní služby v rozsahu alespoň 25 ordinačních hodin rozložených do 5 pracovních dnů týdně, přičemž alespoň jeden den v týdnu má ordinační hodiny prodlouženy nejméně do 18 hodin.</w:t>
      </w:r>
      <w:r w:rsidR="0005139E"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r w:rsidR="00AC624C" w:rsidRPr="00547FAB">
        <w:rPr>
          <w:rFonts w:ascii="Arial Narrow" w:eastAsia="Arial" w:hAnsi="Arial Narrow" w:cs="Arial"/>
          <w:sz w:val="18"/>
          <w:szCs w:val="18"/>
        </w:rPr>
        <w:t>Tento příplatek může být po předchozím posouzení a zadokumentování přiznán, i pokud s ohledem na specifické místní podmínky je dostupnost zdravotních služeb srovnatelná</w:t>
      </w:r>
      <w:r w:rsidR="00F31025" w:rsidRPr="00547FAB">
        <w:rPr>
          <w:rFonts w:ascii="Arial Narrow" w:eastAsia="Arial" w:hAnsi="Arial Narrow" w:cs="Arial"/>
          <w:sz w:val="18"/>
          <w:szCs w:val="18"/>
        </w:rPr>
        <w:t xml:space="preserve">, a </w:t>
      </w:r>
      <w:proofErr w:type="spellStart"/>
      <w:r w:rsidR="00F31025" w:rsidRPr="00547FAB">
        <w:rPr>
          <w:rFonts w:ascii="Arial Narrow" w:eastAsia="Arial" w:hAnsi="Arial Narrow" w:cs="Arial"/>
          <w:sz w:val="18"/>
          <w:szCs w:val="18"/>
        </w:rPr>
        <w:t>to</w:t>
      </w:r>
      <w:r w:rsidR="00AC624C" w:rsidRPr="00547FAB">
        <w:rPr>
          <w:rFonts w:ascii="Arial Narrow" w:eastAsia="Arial" w:hAnsi="Arial Narrow" w:cs="Arial"/>
          <w:sz w:val="18"/>
          <w:szCs w:val="18"/>
        </w:rPr>
        <w:t>i</w:t>
      </w:r>
      <w:proofErr w:type="spellEnd"/>
      <w:r w:rsidR="00AC624C" w:rsidRPr="00547FAB">
        <w:rPr>
          <w:rFonts w:ascii="Arial Narrow" w:eastAsia="Arial" w:hAnsi="Arial Narrow" w:cs="Arial"/>
          <w:sz w:val="18"/>
          <w:szCs w:val="18"/>
        </w:rPr>
        <w:t xml:space="preserve"> při odlišných ordinačních hodinách.</w:t>
      </w:r>
    </w:p>
    <w:p w14:paraId="7E01F56B" w14:textId="20892668" w:rsidR="00887CBD" w:rsidRPr="00547FAB" w:rsidRDefault="00887CBD" w:rsidP="00887CBD">
      <w:pPr>
        <w:pStyle w:val="Zkladntext"/>
        <w:widowControl w:val="0"/>
        <w:numPr>
          <w:ilvl w:val="1"/>
          <w:numId w:val="12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Výše kapitační platby se vypočte podle počtu přepočtených pojištěnců Zdravotní pojišťovny, násobeného přiznanou </w:t>
      </w:r>
      <w:r w:rsidR="006F2F82" w:rsidRPr="00547FAB">
        <w:rPr>
          <w:rFonts w:ascii="Arial Narrow" w:eastAsia="Arial" w:hAnsi="Arial Narrow" w:cs="Arial"/>
          <w:b/>
          <w:bCs/>
          <w:color w:val="auto"/>
          <w:sz w:val="18"/>
          <w:szCs w:val="18"/>
        </w:rPr>
        <w:t xml:space="preserve">celkovou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kapitační sazbou na jednoho </w:t>
      </w:r>
      <w:r w:rsidR="00501D8F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Poskytovatelem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registrovaného pojištěnce Zdravotní pojišťovny na kalendářní měsíc</w:t>
      </w:r>
      <w:r w:rsidR="006F2F82" w:rsidRPr="00547FAB">
        <w:rPr>
          <w:rFonts w:ascii="Arial Narrow" w:eastAsia="Arial" w:hAnsi="Arial Narrow" w:cs="Arial"/>
          <w:b/>
          <w:bCs/>
          <w:sz w:val="18"/>
          <w:szCs w:val="18"/>
        </w:rPr>
        <w:t>.</w:t>
      </w:r>
    </w:p>
    <w:p w14:paraId="7E01F56C" w14:textId="77777777" w:rsidR="00887CBD" w:rsidRPr="00547FAB" w:rsidRDefault="00887CBD" w:rsidP="00887CBD">
      <w:pPr>
        <w:pStyle w:val="Zkladntext"/>
        <w:widowControl w:val="0"/>
        <w:numPr>
          <w:ilvl w:val="1"/>
          <w:numId w:val="12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Počet přepočtených pojištěnců Zdravotní pojišťovny se vypočte vynásobením počtu Poskytovatelem registrovaných pojištěnců Zdravotní pojišťovny v jednotlivých skupinách, násobených indexem příslušné věkové skupiny. Index vyjadřuje poměr nákladů na pojištěnce Zdravotní pojišťovny v dané věkové skupině vůči nákladům na pojištěnce Zdravotní pojišťovny ve věkové skupině 15-19 let. </w:t>
      </w:r>
    </w:p>
    <w:tbl>
      <w:tblPr>
        <w:tblpPr w:leftFromText="141" w:rightFromText="141" w:vertAnchor="text" w:tblpX="943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1360"/>
        <w:gridCol w:w="1360"/>
        <w:gridCol w:w="1360"/>
        <w:gridCol w:w="1360"/>
        <w:gridCol w:w="1361"/>
      </w:tblGrid>
      <w:tr w:rsidR="00887CBD" w:rsidRPr="00547FAB" w14:paraId="7E01F573" w14:textId="77777777" w:rsidTr="00590701">
        <w:tc>
          <w:tcPr>
            <w:tcW w:w="13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E01F56D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47FAB">
              <w:rPr>
                <w:rFonts w:ascii="Arial" w:hAnsi="Arial"/>
                <w:b/>
                <w:bCs/>
                <w:sz w:val="18"/>
                <w:szCs w:val="18"/>
              </w:rPr>
              <w:t>Věková skupina</w:t>
            </w:r>
          </w:p>
        </w:tc>
        <w:tc>
          <w:tcPr>
            <w:tcW w:w="13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7E01F56E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47FAB">
              <w:rPr>
                <w:rFonts w:ascii="Arial" w:hAnsi="Arial"/>
                <w:b/>
                <w:bCs/>
                <w:sz w:val="18"/>
                <w:szCs w:val="18"/>
              </w:rPr>
              <w:t>Index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E01F56F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47FAB">
              <w:rPr>
                <w:rFonts w:ascii="Arial" w:hAnsi="Arial"/>
                <w:b/>
                <w:bCs/>
                <w:sz w:val="18"/>
                <w:szCs w:val="18"/>
              </w:rPr>
              <w:t>Věková skupina</w:t>
            </w:r>
          </w:p>
        </w:tc>
        <w:tc>
          <w:tcPr>
            <w:tcW w:w="13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7E01F570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47FAB">
              <w:rPr>
                <w:rFonts w:ascii="Arial" w:hAnsi="Arial"/>
                <w:b/>
                <w:bCs/>
                <w:sz w:val="18"/>
                <w:szCs w:val="18"/>
              </w:rPr>
              <w:t>Index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E01F571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47FAB">
              <w:rPr>
                <w:rFonts w:ascii="Arial" w:hAnsi="Arial"/>
                <w:b/>
                <w:bCs/>
                <w:sz w:val="18"/>
                <w:szCs w:val="18"/>
              </w:rPr>
              <w:t>Věková skupina</w:t>
            </w:r>
          </w:p>
        </w:tc>
        <w:tc>
          <w:tcPr>
            <w:tcW w:w="136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7E01F572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47FAB">
              <w:rPr>
                <w:rFonts w:ascii="Arial" w:hAnsi="Arial"/>
                <w:b/>
                <w:bCs/>
                <w:sz w:val="18"/>
                <w:szCs w:val="18"/>
              </w:rPr>
              <w:t>Index</w:t>
            </w:r>
          </w:p>
        </w:tc>
      </w:tr>
      <w:tr w:rsidR="00887CBD" w:rsidRPr="00547FAB" w14:paraId="7E01F57A" w14:textId="77777777" w:rsidTr="00590701">
        <w:tc>
          <w:tcPr>
            <w:tcW w:w="1359" w:type="dxa"/>
            <w:tcBorders>
              <w:left w:val="single" w:sz="8" w:space="0" w:color="000000"/>
            </w:tcBorders>
            <w:shd w:val="clear" w:color="auto" w:fill="auto"/>
          </w:tcPr>
          <w:p w14:paraId="7E01F574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0 – 4 roky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shd w:val="clear" w:color="auto" w:fill="auto"/>
          </w:tcPr>
          <w:p w14:paraId="7E01F575" w14:textId="01EB46B7" w:rsidR="00887CBD" w:rsidRPr="00547FAB" w:rsidRDefault="00833A8D" w:rsidP="001764A1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4,02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</w:tcPr>
          <w:p w14:paraId="7E01F576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30 – 34 let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shd w:val="clear" w:color="auto" w:fill="auto"/>
          </w:tcPr>
          <w:p w14:paraId="7E01F577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</w:tcPr>
          <w:p w14:paraId="7E01F578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60 – 64 let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</w:tcPr>
          <w:p w14:paraId="7E01F579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1,50</w:t>
            </w:r>
          </w:p>
        </w:tc>
      </w:tr>
      <w:tr w:rsidR="00887CBD" w:rsidRPr="00547FAB" w14:paraId="7E01F581" w14:textId="77777777" w:rsidTr="00590701">
        <w:tc>
          <w:tcPr>
            <w:tcW w:w="1359" w:type="dxa"/>
            <w:tcBorders>
              <w:left w:val="single" w:sz="8" w:space="0" w:color="000000"/>
            </w:tcBorders>
            <w:shd w:val="clear" w:color="auto" w:fill="auto"/>
          </w:tcPr>
          <w:p w14:paraId="7E01F57B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5 – 9 let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shd w:val="clear" w:color="auto" w:fill="auto"/>
          </w:tcPr>
          <w:p w14:paraId="7E01F57C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1,80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</w:tcPr>
          <w:p w14:paraId="7E01F57D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35 – 39 let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shd w:val="clear" w:color="auto" w:fill="auto"/>
          </w:tcPr>
          <w:p w14:paraId="7E01F57E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1,05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</w:tcPr>
          <w:p w14:paraId="7E01F57F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65 – 69 let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</w:tcPr>
          <w:p w14:paraId="7E01F580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1,70</w:t>
            </w:r>
          </w:p>
        </w:tc>
      </w:tr>
      <w:tr w:rsidR="00887CBD" w:rsidRPr="00547FAB" w14:paraId="7E01F588" w14:textId="77777777" w:rsidTr="00590701">
        <w:tc>
          <w:tcPr>
            <w:tcW w:w="1359" w:type="dxa"/>
            <w:tcBorders>
              <w:left w:val="single" w:sz="8" w:space="0" w:color="000000"/>
            </w:tcBorders>
            <w:shd w:val="clear" w:color="auto" w:fill="auto"/>
          </w:tcPr>
          <w:p w14:paraId="7E01F582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10 – 14 let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shd w:val="clear" w:color="auto" w:fill="auto"/>
          </w:tcPr>
          <w:p w14:paraId="7E01F583" w14:textId="3A0478FA" w:rsidR="00887CBD" w:rsidRPr="00547FAB" w:rsidRDefault="00887CBD" w:rsidP="001764A1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1,</w:t>
            </w:r>
            <w:r w:rsidR="00833A8D" w:rsidRPr="00547FAB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</w:tcPr>
          <w:p w14:paraId="7E01F584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40 – 44 let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shd w:val="clear" w:color="auto" w:fill="auto"/>
          </w:tcPr>
          <w:p w14:paraId="7E01F585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1,05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</w:tcPr>
          <w:p w14:paraId="7E01F586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70 – 74 let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</w:tcPr>
          <w:p w14:paraId="7E01F587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2,00</w:t>
            </w:r>
          </w:p>
        </w:tc>
      </w:tr>
      <w:tr w:rsidR="00887CBD" w:rsidRPr="00547FAB" w14:paraId="7E01F58F" w14:textId="77777777" w:rsidTr="00590701">
        <w:tc>
          <w:tcPr>
            <w:tcW w:w="1359" w:type="dxa"/>
            <w:tcBorders>
              <w:left w:val="single" w:sz="8" w:space="0" w:color="000000"/>
            </w:tcBorders>
            <w:shd w:val="clear" w:color="auto" w:fill="auto"/>
          </w:tcPr>
          <w:p w14:paraId="7E01F589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15 – 19 let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shd w:val="clear" w:color="auto" w:fill="auto"/>
          </w:tcPr>
          <w:p w14:paraId="7E01F58A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</w:tcPr>
          <w:p w14:paraId="7E01F58B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45 – 49 let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shd w:val="clear" w:color="auto" w:fill="auto"/>
          </w:tcPr>
          <w:p w14:paraId="7E01F58C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</w:tcPr>
          <w:p w14:paraId="7E01F58D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75 – 79 let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</w:tcPr>
          <w:p w14:paraId="7E01F58E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2,40</w:t>
            </w:r>
          </w:p>
        </w:tc>
      </w:tr>
      <w:tr w:rsidR="00887CBD" w:rsidRPr="00547FAB" w14:paraId="7E01F596" w14:textId="77777777" w:rsidTr="00590701">
        <w:tc>
          <w:tcPr>
            <w:tcW w:w="1359" w:type="dxa"/>
            <w:tcBorders>
              <w:left w:val="single" w:sz="8" w:space="0" w:color="000000"/>
            </w:tcBorders>
            <w:shd w:val="clear" w:color="auto" w:fill="auto"/>
          </w:tcPr>
          <w:p w14:paraId="7E01F590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20 – 24 let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shd w:val="clear" w:color="auto" w:fill="auto"/>
          </w:tcPr>
          <w:p w14:paraId="7E01F591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0,90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</w:tcPr>
          <w:p w14:paraId="7E01F592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50 – 54 let</w:t>
            </w:r>
          </w:p>
        </w:tc>
        <w:tc>
          <w:tcPr>
            <w:tcW w:w="1360" w:type="dxa"/>
            <w:tcBorders>
              <w:right w:val="single" w:sz="8" w:space="0" w:color="000000"/>
            </w:tcBorders>
            <w:shd w:val="clear" w:color="auto" w:fill="auto"/>
          </w:tcPr>
          <w:p w14:paraId="7E01F593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1,35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</w:tcPr>
          <w:p w14:paraId="7E01F594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80 – 84 let</w:t>
            </w:r>
          </w:p>
        </w:tc>
        <w:tc>
          <w:tcPr>
            <w:tcW w:w="1361" w:type="dxa"/>
            <w:tcBorders>
              <w:right w:val="single" w:sz="8" w:space="0" w:color="000000"/>
            </w:tcBorders>
            <w:shd w:val="clear" w:color="auto" w:fill="auto"/>
          </w:tcPr>
          <w:p w14:paraId="7E01F595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2,90</w:t>
            </w:r>
          </w:p>
        </w:tc>
      </w:tr>
      <w:tr w:rsidR="00887CBD" w:rsidRPr="00547FAB" w14:paraId="7E01F59D" w14:textId="77777777" w:rsidTr="00590701"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01F597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25 – 29 let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01F598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0,95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01F599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55 – 59 let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01F59A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1,45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01F59B" w14:textId="77777777" w:rsidR="00887CBD" w:rsidRPr="00547FAB" w:rsidRDefault="00887CBD">
            <w:pPr>
              <w:pStyle w:val="Obsahtabulky"/>
              <w:ind w:left="347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85 a více let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01F59C" w14:textId="77777777" w:rsidR="00887CBD" w:rsidRPr="00547FAB" w:rsidRDefault="00887CBD">
            <w:pPr>
              <w:pStyle w:val="Obsahtabulky"/>
              <w:ind w:left="369" w:hanging="358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3,40</w:t>
            </w:r>
          </w:p>
        </w:tc>
      </w:tr>
    </w:tbl>
    <w:p w14:paraId="7E01F59E" w14:textId="6723FD7D" w:rsidR="00F25AAF" w:rsidRPr="00547FAB" w:rsidRDefault="00AC624C" w:rsidP="00F25AAF">
      <w:pPr>
        <w:pStyle w:val="Zkladntext"/>
        <w:widowControl w:val="0"/>
        <w:numPr>
          <w:ilvl w:val="1"/>
          <w:numId w:val="12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b/>
          <w:bCs/>
          <w:sz w:val="18"/>
          <w:szCs w:val="18"/>
        </w:rPr>
        <w:br w:type="textWrapping" w:clear="all"/>
      </w:r>
    </w:p>
    <w:p w14:paraId="6AC0A55C" w14:textId="00938EA2" w:rsidR="008C1D50" w:rsidRPr="00547FAB" w:rsidRDefault="008C1D50" w:rsidP="008C1D50">
      <w:pPr>
        <w:pStyle w:val="Zkladntext"/>
        <w:widowControl w:val="0"/>
        <w:suppressAutoHyphens/>
        <w:ind w:left="280"/>
        <w:rPr>
          <w:rFonts w:ascii="Arial Narrow" w:eastAsia="Arial" w:hAnsi="Arial Narrow" w:cs="Arial"/>
          <w:b/>
          <w:color w:val="000000" w:themeColor="text1"/>
          <w:sz w:val="18"/>
          <w:szCs w:val="18"/>
        </w:rPr>
      </w:pPr>
      <w:r w:rsidRPr="00D1099F">
        <w:rPr>
          <w:rFonts w:ascii="Arial Narrow" w:eastAsia="Arial" w:hAnsi="Arial Narrow" w:cs="Arial"/>
          <w:b/>
          <w:color w:val="000000" w:themeColor="text1"/>
          <w:sz w:val="18"/>
          <w:szCs w:val="18"/>
          <w:highlight w:val="cyan"/>
        </w:rPr>
        <w:t xml:space="preserve">IF Nedostupnost = </w:t>
      </w:r>
      <w:r w:rsidR="00C400D5" w:rsidRPr="00D1099F">
        <w:rPr>
          <w:rFonts w:ascii="Arial Narrow" w:eastAsia="Arial" w:hAnsi="Arial Narrow" w:cs="Arial"/>
          <w:b/>
          <w:color w:val="000000" w:themeColor="text1"/>
          <w:sz w:val="18"/>
          <w:szCs w:val="18"/>
          <w:highlight w:val="cyan"/>
        </w:rPr>
        <w:t>1</w:t>
      </w:r>
    </w:p>
    <w:p w14:paraId="500A5D69" w14:textId="1A1787A0" w:rsidR="008A5152" w:rsidRPr="00547FAB" w:rsidRDefault="008A5152" w:rsidP="008C1D50">
      <w:pPr>
        <w:pStyle w:val="Zkladntext"/>
        <w:widowControl w:val="0"/>
        <w:numPr>
          <w:ilvl w:val="1"/>
          <w:numId w:val="12"/>
        </w:numPr>
        <w:tabs>
          <w:tab w:val="clear" w:pos="283"/>
          <w:tab w:val="num" w:pos="709"/>
        </w:tabs>
        <w:suppressAutoHyphens/>
        <w:ind w:left="709" w:hanging="429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b/>
          <w:bCs/>
          <w:sz w:val="18"/>
          <w:szCs w:val="18"/>
        </w:rPr>
        <w:t>K základní kapitační sazbě náleží Poskytovateli Bonifikace podle Přílohy č. 1 tohoto Dodatku.</w:t>
      </w:r>
      <w:r w:rsidR="008C1D50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</w:t>
      </w:r>
      <w:r w:rsidR="008C1D50" w:rsidRPr="00547FAB">
        <w:rPr>
          <w:rFonts w:ascii="Arial Narrow" w:eastAsia="Arial" w:hAnsi="Arial Narrow" w:cs="Arial"/>
          <w:bCs/>
          <w:sz w:val="18"/>
          <w:szCs w:val="18"/>
        </w:rPr>
        <w:t xml:space="preserve">S ohledem na </w:t>
      </w:r>
      <w:r w:rsidR="008C1D50" w:rsidRPr="00547FAB">
        <w:rPr>
          <w:rFonts w:ascii="Arial Narrow" w:eastAsia="Arial" w:hAnsi="Arial Narrow" w:cs="Arial"/>
          <w:b/>
          <w:bCs/>
          <w:sz w:val="18"/>
          <w:szCs w:val="18"/>
        </w:rPr>
        <w:t>zajištění péče v regionu</w:t>
      </w:r>
      <w:r w:rsidR="008C1D50" w:rsidRPr="00547FAB">
        <w:rPr>
          <w:rFonts w:ascii="Arial Narrow" w:eastAsia="Arial" w:hAnsi="Arial Narrow" w:cs="Arial"/>
          <w:bCs/>
          <w:sz w:val="18"/>
          <w:szCs w:val="18"/>
        </w:rPr>
        <w:t xml:space="preserve"> s objektivním nedostatkem PL a PLDD bude </w:t>
      </w:r>
      <w:r w:rsidR="008C1D50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navíc </w:t>
      </w:r>
      <w:r w:rsidR="008C1D50" w:rsidRPr="00547FAB">
        <w:rPr>
          <w:rFonts w:ascii="Arial Narrow" w:eastAsia="Arial" w:hAnsi="Arial Narrow" w:cs="Arial"/>
          <w:bCs/>
          <w:sz w:val="18"/>
          <w:szCs w:val="18"/>
        </w:rPr>
        <w:t xml:space="preserve">Poskytovateli přiznána </w:t>
      </w:r>
      <w:r w:rsidR="008C1D50" w:rsidRPr="00547FAB">
        <w:rPr>
          <w:rFonts w:ascii="Arial Narrow" w:eastAsia="Arial" w:hAnsi="Arial Narrow" w:cs="Arial"/>
          <w:b/>
          <w:bCs/>
          <w:sz w:val="18"/>
          <w:szCs w:val="18"/>
        </w:rPr>
        <w:t>bonifikace ve výši 3,- Kč na jednoho přepočteného pojištěnce a 1 kalendářní měsíc</w:t>
      </w:r>
      <w:r w:rsidR="008C1D50" w:rsidRPr="00547FAB">
        <w:rPr>
          <w:rFonts w:ascii="Arial Narrow" w:eastAsia="Arial" w:hAnsi="Arial Narrow" w:cs="Arial"/>
          <w:bCs/>
          <w:sz w:val="18"/>
          <w:szCs w:val="18"/>
        </w:rPr>
        <w:t>.</w:t>
      </w:r>
    </w:p>
    <w:p w14:paraId="749884FA" w14:textId="4AF7E1F4" w:rsidR="008C1D50" w:rsidRPr="00547FAB" w:rsidRDefault="008C1D50" w:rsidP="008C1D50">
      <w:pPr>
        <w:pStyle w:val="Zkladntext"/>
        <w:widowControl w:val="0"/>
        <w:suppressAutoHyphens/>
        <w:ind w:left="280"/>
        <w:rPr>
          <w:rFonts w:ascii="Arial Narrow" w:eastAsia="Arial" w:hAnsi="Arial Narrow" w:cs="Arial"/>
          <w:b/>
          <w:bCs/>
          <w:sz w:val="18"/>
          <w:szCs w:val="18"/>
          <w:highlight w:val="cyan"/>
        </w:rPr>
      </w:pPr>
      <w:r w:rsidRPr="00547FAB">
        <w:rPr>
          <w:rFonts w:ascii="Arial Narrow" w:eastAsia="Arial" w:hAnsi="Arial Narrow" w:cs="Arial"/>
          <w:b/>
          <w:bCs/>
          <w:sz w:val="18"/>
          <w:szCs w:val="18"/>
          <w:highlight w:val="cyan"/>
        </w:rPr>
        <w:t>ELSE</w:t>
      </w:r>
    </w:p>
    <w:p w14:paraId="668676F0" w14:textId="77777777" w:rsidR="008C1D50" w:rsidRPr="00547FAB" w:rsidRDefault="008C1D50" w:rsidP="008C1D50">
      <w:pPr>
        <w:pStyle w:val="Zkladntext"/>
        <w:widowControl w:val="0"/>
        <w:numPr>
          <w:ilvl w:val="1"/>
          <w:numId w:val="15"/>
        </w:numPr>
        <w:suppressAutoHyphens/>
        <w:ind w:left="709" w:hanging="426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b/>
          <w:bCs/>
          <w:sz w:val="18"/>
          <w:szCs w:val="18"/>
        </w:rPr>
        <w:t>K základní kapitační sazbě náleží Poskytovateli Bonifikace podle Přílohy č. 1 tohoto Dodatku.</w:t>
      </w:r>
    </w:p>
    <w:p w14:paraId="2C6B49D7" w14:textId="7FB7BA1F" w:rsidR="008C1D50" w:rsidRPr="00547FAB" w:rsidRDefault="008C1D50" w:rsidP="008C1D50">
      <w:pPr>
        <w:pStyle w:val="Zkladntext"/>
        <w:widowControl w:val="0"/>
        <w:suppressAutoHyphens/>
        <w:ind w:left="280"/>
        <w:rPr>
          <w:rFonts w:ascii="Arial Narrow" w:eastAsia="Arial" w:hAnsi="Arial Narrow" w:cs="Arial"/>
          <w:b/>
          <w:bCs/>
          <w:sz w:val="18"/>
          <w:szCs w:val="18"/>
        </w:rPr>
      </w:pPr>
      <w:r w:rsidRPr="00547FAB">
        <w:rPr>
          <w:rFonts w:ascii="Arial Narrow" w:eastAsia="Arial" w:hAnsi="Arial Narrow" w:cs="Arial"/>
          <w:b/>
          <w:bCs/>
          <w:sz w:val="18"/>
          <w:szCs w:val="18"/>
          <w:highlight w:val="cyan"/>
        </w:rPr>
        <w:t>ENDIF</w:t>
      </w:r>
    </w:p>
    <w:p w14:paraId="466C464D" w14:textId="58A1E5E3" w:rsidR="00833A8D" w:rsidRPr="00547FAB" w:rsidRDefault="00833A8D" w:rsidP="00DC10CB">
      <w:pPr>
        <w:pStyle w:val="Zkladntext"/>
        <w:widowControl w:val="0"/>
        <w:numPr>
          <w:ilvl w:val="1"/>
          <w:numId w:val="12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Poskytovateli, který předložil před rokem 2019 nebo předloží v průběhu roku 2019 </w:t>
      </w:r>
      <w:r w:rsidR="003F562E">
        <w:rPr>
          <w:rFonts w:ascii="Arial Narrow" w:eastAsia="Arial" w:hAnsi="Arial Narrow" w:cs="Arial"/>
          <w:sz w:val="18"/>
          <w:szCs w:val="18"/>
        </w:rPr>
        <w:t>Z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dravotní pojišťovně rozhodnutí Ministerstva zdravotnictví podle zákona č. 95/2004 Sb., o podmínkách získávání a uznávání odborné způsobilosti a specializované způsobilosti k výkonu zdravotnického povolání lékaře, zubního lékaře a farmaceuta, ve znění pozdějších předpisů, o udělení akreditace k uskutečňování vzdělávacího programu v oboru všeobecné praktické lékařství a doloží, že školí lékaře v rámci vzdělávacího programu, navýší se základní kapitační sazba uvedená v odst. </w:t>
      </w:r>
      <w:proofErr w:type="gramStart"/>
      <w:r w:rsidRPr="00547FAB">
        <w:rPr>
          <w:rFonts w:ascii="Arial Narrow" w:eastAsia="Arial" w:hAnsi="Arial Narrow" w:cs="Arial"/>
          <w:sz w:val="18"/>
          <w:szCs w:val="18"/>
        </w:rPr>
        <w:t>10.1.</w:t>
      </w:r>
      <w:r w:rsidR="003F562E">
        <w:rPr>
          <w:rFonts w:ascii="Arial Narrow" w:eastAsia="Arial" w:hAnsi="Arial Narrow" w:cs="Arial"/>
          <w:sz w:val="18"/>
          <w:szCs w:val="18"/>
        </w:rPr>
        <w:t xml:space="preserve"> tohoto</w:t>
      </w:r>
      <w:proofErr w:type="gramEnd"/>
      <w:r w:rsidR="003F562E">
        <w:rPr>
          <w:rFonts w:ascii="Arial Narrow" w:eastAsia="Arial" w:hAnsi="Arial Narrow" w:cs="Arial"/>
          <w:sz w:val="18"/>
          <w:szCs w:val="18"/>
        </w:rPr>
        <w:t xml:space="preserve"> Dodatku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o </w:t>
      </w:r>
      <w:r w:rsidRPr="00547FAB">
        <w:rPr>
          <w:rFonts w:ascii="Arial Narrow" w:eastAsia="Arial" w:hAnsi="Arial Narrow" w:cs="Arial"/>
          <w:b/>
          <w:sz w:val="18"/>
          <w:szCs w:val="18"/>
        </w:rPr>
        <w:t>1,- Kč.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Navýšení kapitační platby se provede od prvního dne měsíce následujícího po předložení rozhodnutí o udělení akreditace k uskutečňování vzdělávacího programu v oboru všeobecné praktické lékařství do konce platnosti akreditace, nejdéle do konce roku 2019.</w:t>
      </w:r>
    </w:p>
    <w:p w14:paraId="0F5590D6" w14:textId="4F6FA0EB" w:rsidR="00833A8D" w:rsidRPr="00547FAB" w:rsidRDefault="00833A8D" w:rsidP="00DC10CB">
      <w:pPr>
        <w:pStyle w:val="Zkladntext"/>
        <w:widowControl w:val="0"/>
        <w:numPr>
          <w:ilvl w:val="1"/>
          <w:numId w:val="12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V případě, že </w:t>
      </w:r>
      <w:r w:rsidR="003F562E">
        <w:rPr>
          <w:rFonts w:ascii="Arial Narrow" w:eastAsia="Arial" w:hAnsi="Arial Narrow" w:cs="Arial"/>
          <w:sz w:val="18"/>
          <w:szCs w:val="18"/>
        </w:rPr>
        <w:t>P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oskytovatel OZP doloží, že nejméně 50 % lékařů, kteří v rámci </w:t>
      </w:r>
      <w:r w:rsidR="003F562E">
        <w:rPr>
          <w:rFonts w:ascii="Arial Narrow" w:eastAsia="Arial" w:hAnsi="Arial Narrow" w:cs="Arial"/>
          <w:sz w:val="18"/>
          <w:szCs w:val="18"/>
        </w:rPr>
        <w:t>P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oskytovatele poskytují hrazené služby pojištěncům OZP, jsou držiteli platného dokladu o celoživotním vzdělávání lékařů k 1. lednu 2019, </w:t>
      </w:r>
      <w:r w:rsidR="00D66497" w:rsidRPr="00547FAB">
        <w:rPr>
          <w:rFonts w:ascii="Arial Narrow" w:eastAsia="Arial" w:hAnsi="Arial Narrow" w:cs="Arial"/>
          <w:sz w:val="18"/>
          <w:szCs w:val="18"/>
        </w:rPr>
        <w:t xml:space="preserve">v rámci finančního vyrovnání roku 2019 </w:t>
      </w:r>
      <w:r w:rsidR="00DB2D99" w:rsidRPr="00547FAB">
        <w:rPr>
          <w:rFonts w:ascii="Arial Narrow" w:eastAsia="Arial" w:hAnsi="Arial Narrow" w:cs="Arial"/>
          <w:sz w:val="18"/>
          <w:szCs w:val="18"/>
        </w:rPr>
        <w:t xml:space="preserve">se poskytovateli 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navýší základní kapitační sazba uvedená v odst. </w:t>
      </w:r>
      <w:proofErr w:type="gramStart"/>
      <w:r w:rsidRPr="00547FAB">
        <w:rPr>
          <w:rFonts w:ascii="Arial Narrow" w:eastAsia="Arial" w:hAnsi="Arial Narrow" w:cs="Arial"/>
          <w:sz w:val="18"/>
          <w:szCs w:val="18"/>
        </w:rPr>
        <w:t>10.1.</w:t>
      </w:r>
      <w:r w:rsidR="003F562E">
        <w:rPr>
          <w:rFonts w:ascii="Arial Narrow" w:eastAsia="Arial" w:hAnsi="Arial Narrow" w:cs="Arial"/>
          <w:sz w:val="18"/>
          <w:szCs w:val="18"/>
        </w:rPr>
        <w:t xml:space="preserve"> tohoto</w:t>
      </w:r>
      <w:proofErr w:type="gramEnd"/>
      <w:r w:rsidR="003F562E">
        <w:rPr>
          <w:rFonts w:ascii="Arial Narrow" w:eastAsia="Arial" w:hAnsi="Arial Narrow" w:cs="Arial"/>
          <w:sz w:val="18"/>
          <w:szCs w:val="18"/>
        </w:rPr>
        <w:t xml:space="preserve"> Dodatku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o </w:t>
      </w:r>
      <w:r w:rsidRPr="00547FAB">
        <w:rPr>
          <w:rFonts w:ascii="Arial Narrow" w:eastAsia="Arial" w:hAnsi="Arial Narrow" w:cs="Arial"/>
          <w:b/>
          <w:sz w:val="18"/>
          <w:szCs w:val="18"/>
        </w:rPr>
        <w:t>0,60 Kč</w:t>
      </w:r>
      <w:r w:rsidRPr="00547FAB">
        <w:rPr>
          <w:rFonts w:ascii="Arial Narrow" w:eastAsia="Arial" w:hAnsi="Arial Narrow" w:cs="Arial"/>
          <w:sz w:val="18"/>
          <w:szCs w:val="18"/>
        </w:rPr>
        <w:t>.</w:t>
      </w:r>
      <w:r w:rsidR="00D66497"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r w:rsidR="001764A1" w:rsidRPr="00547FAB">
        <w:rPr>
          <w:rFonts w:ascii="Arial Narrow" w:eastAsia="Arial" w:hAnsi="Arial Narrow" w:cs="Arial"/>
          <w:sz w:val="18"/>
          <w:szCs w:val="18"/>
        </w:rPr>
        <w:t xml:space="preserve"> </w:t>
      </w:r>
    </w:p>
    <w:p w14:paraId="7E01F5A0" w14:textId="77777777" w:rsidR="00F25AAF" w:rsidRPr="00547FAB" w:rsidRDefault="00F25AAF" w:rsidP="00DC10CB">
      <w:pPr>
        <w:pStyle w:val="Zkladntext"/>
        <w:widowControl w:val="0"/>
        <w:numPr>
          <w:ilvl w:val="1"/>
          <w:numId w:val="17"/>
        </w:numPr>
        <w:suppressAutoHyphens/>
        <w:ind w:left="709" w:hanging="426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>Poskytovatel se v návaznosti na výše uvedené zavazuje neposkytovat o způsobu výpočtu a hodnocení bez písemného svolení Zdravotní pojišťovny informace třetí osobě.</w:t>
      </w:r>
    </w:p>
    <w:p w14:paraId="7E01F5A1" w14:textId="77777777" w:rsidR="00887CBD" w:rsidRPr="00547FAB" w:rsidRDefault="00887CBD" w:rsidP="00DC10CB">
      <w:pPr>
        <w:pStyle w:val="Zkladntext"/>
        <w:widowControl w:val="0"/>
        <w:numPr>
          <w:ilvl w:val="1"/>
          <w:numId w:val="17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Dorovnání </w:t>
      </w:r>
      <w:proofErr w:type="spellStart"/>
      <w:r w:rsidRPr="00547FAB">
        <w:rPr>
          <w:rFonts w:ascii="Arial Narrow" w:eastAsia="Arial" w:hAnsi="Arial Narrow" w:cs="Arial"/>
          <w:sz w:val="18"/>
          <w:szCs w:val="18"/>
        </w:rPr>
        <w:t>kapitace</w:t>
      </w:r>
      <w:proofErr w:type="spellEnd"/>
      <w:r w:rsidRPr="00547FAB">
        <w:rPr>
          <w:rFonts w:ascii="Arial Narrow" w:eastAsia="Arial" w:hAnsi="Arial Narrow" w:cs="Arial"/>
          <w:sz w:val="18"/>
          <w:szCs w:val="18"/>
        </w:rPr>
        <w:t xml:space="preserve"> se poskytuje v případech, kdy Poskytovatel má, s ohledem na geografické podmínky, menší počet </w:t>
      </w:r>
      <w:r w:rsidR="00AC624C" w:rsidRPr="00547FAB">
        <w:rPr>
          <w:rFonts w:ascii="Arial Narrow" w:eastAsia="Arial" w:hAnsi="Arial Narrow" w:cs="Arial"/>
          <w:sz w:val="18"/>
          <w:szCs w:val="18"/>
        </w:rPr>
        <w:t xml:space="preserve">přepočtených </w:t>
      </w:r>
      <w:r w:rsidRPr="00547FAB">
        <w:rPr>
          <w:rFonts w:ascii="Arial Narrow" w:eastAsia="Arial" w:hAnsi="Arial Narrow" w:cs="Arial"/>
          <w:sz w:val="18"/>
          <w:szCs w:val="18"/>
        </w:rPr>
        <w:t>registrovaných pojištěnců</w:t>
      </w:r>
      <w:r w:rsidR="00AC624C" w:rsidRPr="00547FAB">
        <w:rPr>
          <w:rFonts w:ascii="Arial Narrow" w:eastAsia="Arial" w:hAnsi="Arial Narrow" w:cs="Arial"/>
          <w:sz w:val="18"/>
          <w:szCs w:val="18"/>
        </w:rPr>
        <w:t>,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než je 70% celostátního průměrného počtu takových pojištěnců (celostátní průměrný počet se stanoví vždy pro daný kalendářní rok podle údajů Centrálního registru pojištěnců spravovaného VZP ČR) a poskytování takových zdravotních služeb je nezbytné ke splnění povinností Zdravotní pojišťovny podle </w:t>
      </w:r>
      <w:r w:rsidR="0005139E" w:rsidRPr="00547FAB">
        <w:rPr>
          <w:rFonts w:ascii="Arial Narrow" w:eastAsia="Arial" w:hAnsi="Arial Narrow" w:cs="Arial"/>
          <w:sz w:val="18"/>
          <w:szCs w:val="18"/>
        </w:rPr>
        <w:t xml:space="preserve">ustanovení 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§ 46 odst. 1 zákona č. 48/1997 Sb., </w:t>
      </w:r>
      <w:r w:rsidR="0005139E" w:rsidRPr="00547FAB">
        <w:rPr>
          <w:rFonts w:ascii="Arial Narrow" w:eastAsia="Arial" w:hAnsi="Arial Narrow" w:cs="Arial"/>
          <w:sz w:val="18"/>
          <w:szCs w:val="18"/>
        </w:rPr>
        <w:t>o veřejném zdravotním pojištění</w:t>
      </w:r>
      <w:r w:rsidR="001E5064" w:rsidRPr="00547FAB">
        <w:rPr>
          <w:rFonts w:ascii="Arial Narrow" w:eastAsia="Arial" w:hAnsi="Arial Narrow" w:cs="Arial"/>
          <w:sz w:val="18"/>
          <w:szCs w:val="18"/>
        </w:rPr>
        <w:t xml:space="preserve"> a o změně a doplnění některých souvisejících zákonů</w:t>
      </w:r>
      <w:r w:rsidR="006248AC" w:rsidRPr="00547FAB">
        <w:rPr>
          <w:rFonts w:ascii="Arial Narrow" w:eastAsia="Arial" w:hAnsi="Arial Narrow" w:cs="Arial"/>
          <w:sz w:val="18"/>
          <w:szCs w:val="18"/>
        </w:rPr>
        <w:t xml:space="preserve"> (dále jen „zákon č. 48/1997 Sb.“)</w:t>
      </w:r>
      <w:r w:rsidRPr="00547FAB">
        <w:rPr>
          <w:rFonts w:ascii="Arial Narrow" w:eastAsia="Arial" w:hAnsi="Arial Narrow" w:cs="Arial"/>
          <w:sz w:val="18"/>
          <w:szCs w:val="18"/>
        </w:rPr>
        <w:t>.</w:t>
      </w:r>
    </w:p>
    <w:p w14:paraId="7E01F5A2" w14:textId="77777777" w:rsidR="00887CBD" w:rsidRPr="00547FAB" w:rsidRDefault="00887CBD" w:rsidP="00DC10CB">
      <w:pPr>
        <w:pStyle w:val="Zkladntext"/>
        <w:widowControl w:val="0"/>
        <w:numPr>
          <w:ilvl w:val="1"/>
          <w:numId w:val="17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Dorovnání </w:t>
      </w:r>
      <w:proofErr w:type="spellStart"/>
      <w:r w:rsidRPr="00547FAB">
        <w:rPr>
          <w:rFonts w:ascii="Arial Narrow" w:eastAsia="Arial" w:hAnsi="Arial Narrow" w:cs="Arial"/>
          <w:sz w:val="18"/>
          <w:szCs w:val="18"/>
        </w:rPr>
        <w:t>kapitace</w:t>
      </w:r>
      <w:proofErr w:type="spellEnd"/>
      <w:r w:rsidRPr="00547FAB">
        <w:rPr>
          <w:rFonts w:ascii="Arial Narrow" w:eastAsia="Arial" w:hAnsi="Arial Narrow" w:cs="Arial"/>
          <w:sz w:val="18"/>
          <w:szCs w:val="18"/>
        </w:rPr>
        <w:t xml:space="preserve"> lze poskytnout až do výše 90% kapitační platby vypočtené na celostátní průměrný počet </w:t>
      </w:r>
      <w:r w:rsidR="00AC624C" w:rsidRPr="00547FAB">
        <w:rPr>
          <w:rFonts w:ascii="Arial Narrow" w:eastAsia="Arial" w:hAnsi="Arial Narrow" w:cs="Arial"/>
          <w:sz w:val="18"/>
          <w:szCs w:val="18"/>
        </w:rPr>
        <w:t xml:space="preserve">přepočtených </w:t>
      </w:r>
      <w:r w:rsidRPr="00547FAB">
        <w:rPr>
          <w:rFonts w:ascii="Arial Narrow" w:eastAsia="Arial" w:hAnsi="Arial Narrow" w:cs="Arial"/>
          <w:sz w:val="18"/>
          <w:szCs w:val="18"/>
        </w:rPr>
        <w:t>registrovaných pojištěnců. Na dorovnání se podílí Zdravotní pojišťovna procentem odpovídajícím procentu jejích pojištěnců z</w:t>
      </w:r>
      <w:r w:rsidR="00AC624C" w:rsidRPr="00547FAB">
        <w:rPr>
          <w:rFonts w:ascii="Arial Narrow" w:eastAsia="Arial" w:hAnsi="Arial Narrow" w:cs="Arial"/>
          <w:sz w:val="18"/>
          <w:szCs w:val="18"/>
        </w:rPr>
        <w:t xml:space="preserve"> přepočtených </w:t>
      </w:r>
      <w:r w:rsidRPr="00547FAB">
        <w:rPr>
          <w:rFonts w:ascii="Arial Narrow" w:eastAsia="Arial" w:hAnsi="Arial Narrow" w:cs="Arial"/>
          <w:sz w:val="18"/>
          <w:szCs w:val="18"/>
        </w:rPr>
        <w:t>registrovaných pojištěnců Poskytovatele.</w:t>
      </w:r>
    </w:p>
    <w:p w14:paraId="7E01F5A3" w14:textId="3CFBA713" w:rsidR="00F25AAF" w:rsidRPr="00547FAB" w:rsidRDefault="009A7415" w:rsidP="00DC10CB">
      <w:pPr>
        <w:pStyle w:val="Zkladntext"/>
        <w:widowControl w:val="0"/>
        <w:numPr>
          <w:ilvl w:val="1"/>
          <w:numId w:val="17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b/>
          <w:bCs/>
          <w:sz w:val="18"/>
          <w:szCs w:val="18"/>
        </w:rPr>
        <w:t>V roce 2019 čin</w:t>
      </w:r>
      <w:r w:rsidR="003F562E">
        <w:rPr>
          <w:rFonts w:ascii="Arial Narrow" w:eastAsia="Arial" w:hAnsi="Arial Narrow" w:cs="Arial"/>
          <w:b/>
          <w:bCs/>
          <w:sz w:val="18"/>
          <w:szCs w:val="18"/>
        </w:rPr>
        <w:t>í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h</w:t>
      </w:r>
      <w:r w:rsidR="00F25AAF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odnota bodu pro úhradu zdravotních služeb nezahrnutých do kapitačních plateb, pro úhradu nepravidelných služeb a pro úhradu zdravotních služeb poskytnutých </w:t>
      </w:r>
      <w:r w:rsidR="000257DD" w:rsidRPr="00547FAB">
        <w:rPr>
          <w:rFonts w:ascii="Arial Narrow" w:eastAsia="Arial" w:hAnsi="Arial Narrow" w:cs="Arial"/>
          <w:b/>
          <w:bCs/>
          <w:sz w:val="18"/>
          <w:szCs w:val="18"/>
        </w:rPr>
        <w:t>Z</w:t>
      </w:r>
      <w:r w:rsidR="00F25AAF" w:rsidRPr="00547FAB">
        <w:rPr>
          <w:rFonts w:ascii="Arial Narrow" w:eastAsia="Arial" w:hAnsi="Arial Narrow" w:cs="Arial"/>
          <w:b/>
          <w:bCs/>
          <w:sz w:val="18"/>
          <w:szCs w:val="18"/>
        </w:rPr>
        <w:t>ahraničním pojištěncům</w:t>
      </w:r>
      <w:r w:rsidR="00F25AAF" w:rsidRPr="00547FAB">
        <w:rPr>
          <w:rFonts w:ascii="Arial Narrow" w:eastAsia="Arial" w:hAnsi="Arial Narrow" w:cs="Arial"/>
          <w:sz w:val="18"/>
          <w:szCs w:val="18"/>
        </w:rPr>
        <w:t>, vyúčtovaných dle vyhlášky č. 134/1998 Sb., kterou se vydává Seznam zdravotních výkonů s bodovými hodnotami</w:t>
      </w:r>
      <w:r w:rsidR="00E53AFA" w:rsidRPr="00547FAB">
        <w:rPr>
          <w:rFonts w:ascii="Arial Narrow" w:eastAsia="Arial" w:hAnsi="Arial Narrow" w:cs="Arial"/>
          <w:sz w:val="18"/>
          <w:szCs w:val="18"/>
        </w:rPr>
        <w:t>, ve znění pozdějších předpisů</w:t>
      </w:r>
      <w:r w:rsidR="00F25AAF" w:rsidRPr="00547FAB">
        <w:rPr>
          <w:rFonts w:ascii="Arial Narrow" w:eastAsia="Arial" w:hAnsi="Arial Narrow" w:cs="Arial"/>
          <w:sz w:val="18"/>
          <w:szCs w:val="18"/>
        </w:rPr>
        <w:t xml:space="preserve"> (dále jen „Seznam zdravotních výkonů“)</w:t>
      </w:r>
      <w:r w:rsidR="00DB2D99"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r w:rsidR="00F25AAF" w:rsidRPr="00547FAB">
        <w:rPr>
          <w:rFonts w:ascii="Arial Narrow" w:eastAsia="Arial" w:hAnsi="Arial Narrow" w:cs="Arial"/>
          <w:b/>
          <w:bCs/>
          <w:sz w:val="18"/>
          <w:szCs w:val="18"/>
        </w:rPr>
        <w:t>1,</w:t>
      </w:r>
      <w:r w:rsidR="00093FA4" w:rsidRPr="00547FAB">
        <w:rPr>
          <w:rFonts w:ascii="Arial Narrow" w:eastAsia="Arial" w:hAnsi="Arial Narrow" w:cs="Arial"/>
          <w:b/>
          <w:bCs/>
          <w:sz w:val="18"/>
          <w:szCs w:val="18"/>
        </w:rPr>
        <w:t>1</w:t>
      </w:r>
      <w:r w:rsidR="00F25AAF" w:rsidRPr="00547FAB">
        <w:rPr>
          <w:rFonts w:ascii="Arial Narrow" w:eastAsia="Arial" w:hAnsi="Arial Narrow" w:cs="Arial"/>
          <w:b/>
          <w:bCs/>
          <w:sz w:val="18"/>
          <w:szCs w:val="18"/>
        </w:rPr>
        <w:t>8 Kč/bod</w:t>
      </w:r>
      <w:r w:rsidR="00F25AAF" w:rsidRPr="00547FAB">
        <w:rPr>
          <w:rFonts w:ascii="Arial Narrow" w:eastAsia="Arial" w:hAnsi="Arial Narrow" w:cs="Arial"/>
          <w:sz w:val="18"/>
          <w:szCs w:val="18"/>
        </w:rPr>
        <w:t>.</w:t>
      </w:r>
    </w:p>
    <w:p w14:paraId="24E3390A" w14:textId="1AD519DB" w:rsidR="004961B4" w:rsidRPr="00547FAB" w:rsidRDefault="00F25AAF" w:rsidP="00DC10CB">
      <w:pPr>
        <w:pStyle w:val="Zkladntext"/>
        <w:widowControl w:val="0"/>
        <w:suppressAutoHyphens/>
        <w:ind w:left="63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b/>
          <w:bCs/>
          <w:sz w:val="18"/>
          <w:szCs w:val="18"/>
        </w:rPr>
        <w:t>Pro výkony 01021, 01022</w:t>
      </w:r>
      <w:r w:rsidR="00C26C38" w:rsidRPr="00547FAB">
        <w:rPr>
          <w:rFonts w:ascii="Arial Narrow" w:eastAsia="Arial" w:hAnsi="Arial Narrow" w:cs="Arial"/>
          <w:b/>
          <w:bCs/>
          <w:sz w:val="18"/>
          <w:szCs w:val="18"/>
        </w:rPr>
        <w:t>, 01201</w:t>
      </w:r>
      <w:r w:rsidR="00170EDA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</w:t>
      </w:r>
      <w:r w:rsidR="00A84AC9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a </w:t>
      </w:r>
      <w:r w:rsidR="00170EDA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pro výkony </w:t>
      </w:r>
      <w:r w:rsidR="00C26C38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očkování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02100,</w:t>
      </w:r>
      <w:r w:rsidR="00795C49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02105, 02125 a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02130 se stanoví hodnota bodu ve výši 1,</w:t>
      </w:r>
      <w:r w:rsidR="00C26C38" w:rsidRPr="00547FAB">
        <w:rPr>
          <w:rFonts w:ascii="Arial Narrow" w:eastAsia="Arial" w:hAnsi="Arial Narrow" w:cs="Arial"/>
          <w:b/>
          <w:bCs/>
          <w:sz w:val="18"/>
          <w:szCs w:val="18"/>
        </w:rPr>
        <w:t>20</w:t>
      </w:r>
      <w:r w:rsidR="00337150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Kč/bod, </w:t>
      </w:r>
    </w:p>
    <w:p w14:paraId="7E01F5A7" w14:textId="7C4DA44C" w:rsidR="00F25AAF" w:rsidRPr="00547FAB" w:rsidRDefault="00F25AAF" w:rsidP="00DC10CB">
      <w:pPr>
        <w:pStyle w:val="Zkladntext"/>
        <w:widowControl w:val="0"/>
        <w:numPr>
          <w:ilvl w:val="1"/>
          <w:numId w:val="17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b/>
          <w:bCs/>
          <w:sz w:val="18"/>
          <w:szCs w:val="18"/>
        </w:rPr>
        <w:t>Hodnota bodu dopravních služeb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používaných v návštěvní službě, pokud není mezi Poskytovatelem a Zdravotní pojišťovnou smluvně sjednán paušální způsob úhrady,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bude v roce 201</w:t>
      </w:r>
      <w:r w:rsidR="001764A1" w:rsidRPr="00547FAB">
        <w:rPr>
          <w:rFonts w:ascii="Arial Narrow" w:eastAsia="Arial" w:hAnsi="Arial Narrow" w:cs="Arial"/>
          <w:b/>
          <w:bCs/>
          <w:sz w:val="18"/>
          <w:szCs w:val="18"/>
        </w:rPr>
        <w:t>9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činit 0,90 Kč/bod</w:t>
      </w:r>
      <w:r w:rsidRPr="00547FAB">
        <w:rPr>
          <w:rFonts w:ascii="Arial Narrow" w:eastAsia="Arial" w:hAnsi="Arial Narrow" w:cs="Arial"/>
          <w:sz w:val="18"/>
          <w:szCs w:val="18"/>
        </w:rPr>
        <w:t>.</w:t>
      </w:r>
    </w:p>
    <w:p w14:paraId="26C5B49F" w14:textId="49A4EB39" w:rsidR="00C26C38" w:rsidRPr="00547FAB" w:rsidRDefault="00C26C38" w:rsidP="00DC10CB">
      <w:pPr>
        <w:pStyle w:val="Zkladntext"/>
        <w:widowControl w:val="0"/>
        <w:numPr>
          <w:ilvl w:val="1"/>
          <w:numId w:val="17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>Hodnota bodu uvedená v</w:t>
      </w:r>
      <w:r w:rsidR="00A84AC9" w:rsidRPr="00547FAB">
        <w:rPr>
          <w:rFonts w:ascii="Arial Narrow" w:eastAsia="Arial" w:hAnsi="Arial Narrow" w:cs="Arial"/>
          <w:sz w:val="18"/>
          <w:szCs w:val="18"/>
        </w:rPr>
        <w:t> odst.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10.13. </w:t>
      </w:r>
      <w:r w:rsidR="003F562E">
        <w:rPr>
          <w:rFonts w:ascii="Arial Narrow" w:eastAsia="Arial" w:hAnsi="Arial Narrow" w:cs="Arial"/>
          <w:sz w:val="18"/>
          <w:szCs w:val="18"/>
        </w:rPr>
        <w:t xml:space="preserve">tohoto Dodatku </w:t>
      </w:r>
      <w:r w:rsidR="00D66497" w:rsidRPr="00547FAB">
        <w:rPr>
          <w:rFonts w:ascii="Arial Narrow" w:eastAsia="Arial" w:hAnsi="Arial Narrow" w:cs="Arial"/>
          <w:sz w:val="18"/>
          <w:szCs w:val="18"/>
        </w:rPr>
        <w:t xml:space="preserve">se </w:t>
      </w:r>
      <w:r w:rsidR="003F562E">
        <w:rPr>
          <w:rFonts w:ascii="Arial Narrow" w:eastAsia="Arial" w:hAnsi="Arial Narrow" w:cs="Arial"/>
          <w:sz w:val="18"/>
          <w:szCs w:val="18"/>
        </w:rPr>
        <w:t>P</w:t>
      </w:r>
      <w:r w:rsidR="00D66497" w:rsidRPr="00547FAB">
        <w:rPr>
          <w:rFonts w:ascii="Arial Narrow" w:eastAsia="Arial" w:hAnsi="Arial Narrow" w:cs="Arial"/>
          <w:sz w:val="18"/>
          <w:szCs w:val="18"/>
        </w:rPr>
        <w:t xml:space="preserve">oskytovateli v rámci finančního vyrovnání roku 2019 navýší, a to </w:t>
      </w:r>
      <w:r w:rsidRPr="00547FAB">
        <w:rPr>
          <w:rFonts w:ascii="Arial Narrow" w:eastAsia="Arial" w:hAnsi="Arial Narrow" w:cs="Arial"/>
          <w:sz w:val="18"/>
          <w:szCs w:val="18"/>
        </w:rPr>
        <w:t>za splnění následujících podmínek:</w:t>
      </w:r>
    </w:p>
    <w:p w14:paraId="2A96B99D" w14:textId="6CA25A7C" w:rsidR="00C26C38" w:rsidRPr="00547FAB" w:rsidRDefault="00D66497" w:rsidP="00DC10CB">
      <w:pPr>
        <w:pStyle w:val="Zkladntext"/>
        <w:widowControl w:val="0"/>
        <w:numPr>
          <w:ilvl w:val="2"/>
          <w:numId w:val="17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o </w:t>
      </w:r>
      <w:r w:rsidR="00C26C38" w:rsidRPr="00547FAB">
        <w:rPr>
          <w:rFonts w:ascii="Arial Narrow" w:eastAsia="Arial" w:hAnsi="Arial Narrow" w:cs="Arial"/>
          <w:b/>
          <w:sz w:val="18"/>
          <w:szCs w:val="18"/>
        </w:rPr>
        <w:t>0,01 Kč</w:t>
      </w:r>
      <w:r w:rsidRPr="00547FAB">
        <w:rPr>
          <w:rFonts w:ascii="Arial Narrow" w:eastAsia="Arial" w:hAnsi="Arial Narrow" w:cs="Arial"/>
          <w:sz w:val="18"/>
          <w:szCs w:val="18"/>
        </w:rPr>
        <w:t>/</w:t>
      </w:r>
      <w:r w:rsidRPr="00547FAB">
        <w:rPr>
          <w:rFonts w:ascii="Arial Narrow" w:eastAsia="Arial" w:hAnsi="Arial Narrow" w:cs="Arial"/>
          <w:b/>
          <w:sz w:val="18"/>
          <w:szCs w:val="18"/>
        </w:rPr>
        <w:t>bod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r w:rsidR="00C26C38" w:rsidRPr="00547FAB">
        <w:rPr>
          <w:rFonts w:ascii="Arial Narrow" w:eastAsia="Arial" w:hAnsi="Arial Narrow" w:cs="Arial"/>
          <w:sz w:val="18"/>
          <w:szCs w:val="18"/>
        </w:rPr>
        <w:t xml:space="preserve"> v případě, že </w:t>
      </w:r>
      <w:r w:rsidR="0032420A">
        <w:rPr>
          <w:rFonts w:ascii="Arial Narrow" w:eastAsia="Arial" w:hAnsi="Arial Narrow" w:cs="Arial"/>
          <w:sz w:val="18"/>
          <w:szCs w:val="18"/>
        </w:rPr>
        <w:t>P</w:t>
      </w:r>
      <w:r w:rsidR="00C26C38" w:rsidRPr="00547FAB">
        <w:rPr>
          <w:rFonts w:ascii="Arial Narrow" w:eastAsia="Arial" w:hAnsi="Arial Narrow" w:cs="Arial"/>
          <w:sz w:val="18"/>
          <w:szCs w:val="18"/>
        </w:rPr>
        <w:t xml:space="preserve">oskytovatel </w:t>
      </w:r>
      <w:r w:rsidR="0032420A">
        <w:rPr>
          <w:rFonts w:ascii="Arial Narrow" w:eastAsia="Arial" w:hAnsi="Arial Narrow" w:cs="Arial"/>
          <w:sz w:val="18"/>
          <w:szCs w:val="18"/>
        </w:rPr>
        <w:t>Zdravotní pojišťovně</w:t>
      </w:r>
      <w:r w:rsidR="00C26C38" w:rsidRPr="00547FAB">
        <w:rPr>
          <w:rFonts w:ascii="Arial Narrow" w:eastAsia="Arial" w:hAnsi="Arial Narrow" w:cs="Arial"/>
          <w:sz w:val="18"/>
          <w:szCs w:val="18"/>
        </w:rPr>
        <w:t xml:space="preserve"> doloží, že nejméně 50 % lékařů, kt</w:t>
      </w:r>
      <w:bookmarkStart w:id="0" w:name="_GoBack"/>
      <w:bookmarkEnd w:id="0"/>
      <w:r w:rsidR="00C26C38" w:rsidRPr="00547FAB">
        <w:rPr>
          <w:rFonts w:ascii="Arial Narrow" w:eastAsia="Arial" w:hAnsi="Arial Narrow" w:cs="Arial"/>
          <w:sz w:val="18"/>
          <w:szCs w:val="18"/>
        </w:rPr>
        <w:t xml:space="preserve">eří v rámci </w:t>
      </w:r>
      <w:r w:rsidR="0032420A">
        <w:rPr>
          <w:rFonts w:ascii="Arial Narrow" w:eastAsia="Arial" w:hAnsi="Arial Narrow" w:cs="Arial"/>
          <w:sz w:val="18"/>
          <w:szCs w:val="18"/>
        </w:rPr>
        <w:t>P</w:t>
      </w:r>
      <w:r w:rsidR="00C26C38" w:rsidRPr="00547FAB">
        <w:rPr>
          <w:rFonts w:ascii="Arial Narrow" w:eastAsia="Arial" w:hAnsi="Arial Narrow" w:cs="Arial"/>
          <w:sz w:val="18"/>
          <w:szCs w:val="18"/>
        </w:rPr>
        <w:t>oskytovatele poskytují hrazené služby pojištěncům OZP, jsou držiteli platného dokladu o celoživotním vzdělávání lékařů k 1. lednu 2019</w:t>
      </w:r>
    </w:p>
    <w:p w14:paraId="32DDEB0A" w14:textId="2B7649B9" w:rsidR="00C26C38" w:rsidRPr="00547FAB" w:rsidRDefault="00D66497" w:rsidP="00DC10CB">
      <w:pPr>
        <w:pStyle w:val="Zkladntext"/>
        <w:widowControl w:val="0"/>
        <w:numPr>
          <w:ilvl w:val="2"/>
          <w:numId w:val="17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o </w:t>
      </w:r>
      <w:r w:rsidR="00C26C38" w:rsidRPr="00547FAB">
        <w:rPr>
          <w:rFonts w:ascii="Arial Narrow" w:eastAsia="Arial" w:hAnsi="Arial Narrow" w:cs="Arial"/>
          <w:b/>
          <w:sz w:val="18"/>
          <w:szCs w:val="18"/>
        </w:rPr>
        <w:t>0,01 Kč</w:t>
      </w:r>
      <w:r w:rsidRPr="00547FAB">
        <w:rPr>
          <w:rFonts w:ascii="Arial Narrow" w:eastAsia="Arial" w:hAnsi="Arial Narrow" w:cs="Arial"/>
          <w:b/>
          <w:sz w:val="18"/>
          <w:szCs w:val="18"/>
        </w:rPr>
        <w:t>/bod</w:t>
      </w:r>
      <w:r w:rsidR="00C26C38" w:rsidRPr="00547FAB">
        <w:rPr>
          <w:rFonts w:ascii="Arial Narrow" w:eastAsia="Arial" w:hAnsi="Arial Narrow" w:cs="Arial"/>
          <w:sz w:val="18"/>
          <w:szCs w:val="18"/>
        </w:rPr>
        <w:t xml:space="preserve"> v případě, že </w:t>
      </w:r>
      <w:r w:rsidR="0032420A">
        <w:rPr>
          <w:rFonts w:ascii="Arial Narrow" w:eastAsia="Arial" w:hAnsi="Arial Narrow" w:cs="Arial"/>
          <w:sz w:val="18"/>
          <w:szCs w:val="18"/>
        </w:rPr>
        <w:t>P</w:t>
      </w:r>
      <w:r w:rsidR="00C26C38" w:rsidRPr="00547FAB">
        <w:rPr>
          <w:rFonts w:ascii="Arial Narrow" w:eastAsia="Arial" w:hAnsi="Arial Narrow" w:cs="Arial"/>
          <w:sz w:val="18"/>
          <w:szCs w:val="18"/>
        </w:rPr>
        <w:t>oskytovatel poskytuje zdravotní služby v rozsahu alespoň 30 ordinačních hodin rozložených do 5 pracovních dnů týdně, přičemž alespoň jeden den v týdnu má ordinační hodiny prodlouženy do 18 hodin a umožňuje pojištěncům objednat se alespoň dva dny v týdnu na pevně stanovenou hodinu</w:t>
      </w:r>
    </w:p>
    <w:p w14:paraId="7E01F5A8" w14:textId="061AACB0" w:rsidR="00F25AAF" w:rsidRPr="00547FAB" w:rsidRDefault="00F25AAF" w:rsidP="00DC10CB">
      <w:pPr>
        <w:pStyle w:val="Zkladntext"/>
        <w:widowControl w:val="0"/>
        <w:numPr>
          <w:ilvl w:val="1"/>
          <w:numId w:val="17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Za každý </w:t>
      </w:r>
      <w:r w:rsidR="00DC7B20" w:rsidRPr="00547FAB">
        <w:rPr>
          <w:rFonts w:ascii="Arial Narrow" w:eastAsia="Arial" w:hAnsi="Arial Narrow" w:cs="Arial"/>
          <w:sz w:val="18"/>
          <w:szCs w:val="18"/>
        </w:rPr>
        <w:t xml:space="preserve">Poskytovatelem 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vykázaný a Zdravotní pojišťovnou uznaný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výkon č. 09543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podle</w:t>
      </w:r>
      <w:r w:rsidR="006248AC" w:rsidRPr="00547FAB">
        <w:rPr>
          <w:rFonts w:ascii="Arial Narrow" w:eastAsia="Arial" w:hAnsi="Arial Narrow" w:cs="Arial"/>
          <w:sz w:val="18"/>
          <w:szCs w:val="18"/>
        </w:rPr>
        <w:t xml:space="preserve"> S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eznamu </w:t>
      </w:r>
      <w:r w:rsidR="006248AC" w:rsidRPr="00547FAB">
        <w:rPr>
          <w:rFonts w:ascii="Arial Narrow" w:eastAsia="Arial" w:hAnsi="Arial Narrow" w:cs="Arial"/>
          <w:sz w:val="18"/>
          <w:szCs w:val="18"/>
        </w:rPr>
        <w:t xml:space="preserve">zdravotních 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výkonů se stanoví úhrada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30,-</w:t>
      </w:r>
      <w:r w:rsidR="006248AC" w:rsidRPr="00547FAB">
        <w:rPr>
          <w:rFonts w:ascii="Arial Narrow" w:eastAsia="Arial" w:hAnsi="Arial Narrow" w:cs="Arial"/>
          <w:b/>
          <w:bCs/>
          <w:sz w:val="18"/>
          <w:szCs w:val="18"/>
        </w:rPr>
        <w:t xml:space="preserve"> </w:t>
      </w:r>
      <w:r w:rsidRPr="00547FAB">
        <w:rPr>
          <w:rFonts w:ascii="Arial Narrow" w:eastAsia="Arial" w:hAnsi="Arial Narrow" w:cs="Arial"/>
          <w:b/>
          <w:bCs/>
          <w:sz w:val="18"/>
          <w:szCs w:val="18"/>
        </w:rPr>
        <w:t>Kč</w:t>
      </w:r>
      <w:r w:rsidRPr="00547FAB">
        <w:rPr>
          <w:rFonts w:ascii="Arial Narrow" w:eastAsia="Arial" w:hAnsi="Arial Narrow" w:cs="Arial"/>
          <w:sz w:val="18"/>
          <w:szCs w:val="18"/>
        </w:rPr>
        <w:t>. Tato úhrada se nezapočítává do maximální úhrady za hrazené služby.</w:t>
      </w:r>
    </w:p>
    <w:p w14:paraId="7E01F5A9" w14:textId="4991B8E4" w:rsidR="001833DB" w:rsidRPr="00547FAB" w:rsidRDefault="00FE3581" w:rsidP="00DC10CB">
      <w:pPr>
        <w:pStyle w:val="Zkladntext"/>
        <w:widowControl w:val="0"/>
        <w:numPr>
          <w:ilvl w:val="1"/>
          <w:numId w:val="17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bCs/>
          <w:sz w:val="18"/>
          <w:szCs w:val="18"/>
        </w:rPr>
        <w:t xml:space="preserve">Poskytovateli v oboru všeobecné praktické lékařství, který do </w:t>
      </w:r>
      <w:proofErr w:type="gramStart"/>
      <w:r w:rsidRPr="00547FAB">
        <w:rPr>
          <w:rFonts w:ascii="Arial Narrow" w:eastAsia="Arial" w:hAnsi="Arial Narrow" w:cs="Arial"/>
          <w:bCs/>
          <w:sz w:val="18"/>
          <w:szCs w:val="18"/>
        </w:rPr>
        <w:t>31.3.20</w:t>
      </w:r>
      <w:r w:rsidR="00C26C38" w:rsidRPr="00547FAB">
        <w:rPr>
          <w:rFonts w:ascii="Arial Narrow" w:eastAsia="Arial" w:hAnsi="Arial Narrow" w:cs="Arial"/>
          <w:bCs/>
          <w:sz w:val="18"/>
          <w:szCs w:val="18"/>
        </w:rPr>
        <w:t>20</w:t>
      </w:r>
      <w:proofErr w:type="gramEnd"/>
      <w:r w:rsidRPr="00547FAB">
        <w:rPr>
          <w:rFonts w:ascii="Arial Narrow" w:eastAsia="Arial" w:hAnsi="Arial Narrow" w:cs="Arial"/>
          <w:bCs/>
          <w:sz w:val="18"/>
          <w:szCs w:val="18"/>
        </w:rPr>
        <w:t xml:space="preserve"> předloží </w:t>
      </w:r>
      <w:r w:rsidR="00DC7B20" w:rsidRPr="00547FAB">
        <w:rPr>
          <w:rFonts w:ascii="Arial Narrow" w:eastAsia="Arial" w:hAnsi="Arial Narrow" w:cs="Arial"/>
          <w:bCs/>
          <w:sz w:val="18"/>
          <w:szCs w:val="18"/>
        </w:rPr>
        <w:t>Zdravotní pojišťovně</w:t>
      </w:r>
      <w:r w:rsidRPr="00547FAB">
        <w:rPr>
          <w:rFonts w:ascii="Arial Narrow" w:eastAsia="Arial" w:hAnsi="Arial Narrow" w:cs="Arial"/>
          <w:bCs/>
          <w:sz w:val="18"/>
          <w:szCs w:val="18"/>
        </w:rPr>
        <w:t xml:space="preserve"> za </w:t>
      </w:r>
      <w:r w:rsidR="00DC7B20" w:rsidRPr="00547FAB">
        <w:rPr>
          <w:rFonts w:ascii="Arial Narrow" w:eastAsia="Arial" w:hAnsi="Arial Narrow" w:cs="Arial"/>
          <w:bCs/>
          <w:sz w:val="18"/>
          <w:szCs w:val="18"/>
        </w:rPr>
        <w:t>období uvedené v článku III. odst. 5 tohoto Dodatku (dále jen „</w:t>
      </w:r>
      <w:r w:rsidRPr="00547FAB">
        <w:rPr>
          <w:rFonts w:ascii="Arial Narrow" w:eastAsia="Arial" w:hAnsi="Arial Narrow" w:cs="Arial"/>
          <w:bCs/>
          <w:sz w:val="18"/>
          <w:szCs w:val="18"/>
        </w:rPr>
        <w:t>hodnocené období</w:t>
      </w:r>
      <w:r w:rsidR="00DC7B20" w:rsidRPr="00547FAB">
        <w:rPr>
          <w:rFonts w:ascii="Arial Narrow" w:eastAsia="Arial" w:hAnsi="Arial Narrow" w:cs="Arial"/>
          <w:bCs/>
          <w:sz w:val="18"/>
          <w:szCs w:val="18"/>
        </w:rPr>
        <w:t>“)</w:t>
      </w:r>
      <w:r w:rsidRPr="00547FAB">
        <w:rPr>
          <w:rFonts w:ascii="Arial Narrow" w:eastAsia="Arial" w:hAnsi="Arial Narrow" w:cs="Arial"/>
          <w:bCs/>
          <w:sz w:val="18"/>
          <w:szCs w:val="18"/>
        </w:rPr>
        <w:t xml:space="preserve"> potvrzení poskytovatele, který zajišťuje lékařskou pohotovostní službu, že se prostřednictvím praktických lékařů, kteří u něj působí jako nositelé výkonů odbornosti 001, účastnil alespoň 10 služeb v rámci lékařské </w:t>
      </w:r>
      <w:r w:rsidR="001A16DC" w:rsidRPr="00547FAB">
        <w:rPr>
          <w:rFonts w:ascii="Arial Narrow" w:eastAsia="Arial" w:hAnsi="Arial Narrow" w:cs="Arial"/>
          <w:bCs/>
          <w:sz w:val="18"/>
          <w:szCs w:val="18"/>
        </w:rPr>
        <w:t>pohotovostní služby podle § 110 zákona č.</w:t>
      </w:r>
      <w:r w:rsidR="00E53AFA" w:rsidRPr="00547FAB">
        <w:rPr>
          <w:rFonts w:ascii="Arial Narrow" w:eastAsia="Arial" w:hAnsi="Arial Narrow" w:cs="Arial"/>
          <w:bCs/>
          <w:sz w:val="18"/>
          <w:szCs w:val="18"/>
        </w:rPr>
        <w:t xml:space="preserve"> </w:t>
      </w:r>
      <w:r w:rsidR="001A16DC" w:rsidRPr="00547FAB">
        <w:rPr>
          <w:rFonts w:ascii="Arial Narrow" w:eastAsia="Arial" w:hAnsi="Arial Narrow" w:cs="Arial"/>
          <w:bCs/>
          <w:sz w:val="18"/>
          <w:szCs w:val="18"/>
        </w:rPr>
        <w:t>372/2011 Sb. o zdravotních službách a podmínkách jejich poskytování</w:t>
      </w:r>
      <w:r w:rsidR="00E53AFA" w:rsidRPr="00547FAB">
        <w:rPr>
          <w:rFonts w:ascii="Arial Narrow" w:eastAsia="Arial" w:hAnsi="Arial Narrow" w:cs="Arial"/>
          <w:bCs/>
          <w:sz w:val="18"/>
          <w:szCs w:val="18"/>
        </w:rPr>
        <w:t xml:space="preserve"> (zákon o zdravotních službách)</w:t>
      </w:r>
      <w:r w:rsidR="001A16DC" w:rsidRPr="00547FAB">
        <w:rPr>
          <w:rFonts w:ascii="Arial Narrow" w:eastAsia="Arial" w:hAnsi="Arial Narrow" w:cs="Arial"/>
          <w:bCs/>
          <w:sz w:val="18"/>
          <w:szCs w:val="18"/>
        </w:rPr>
        <w:t xml:space="preserve">, se zvýší roční úhrada o </w:t>
      </w:r>
      <w:r w:rsidR="001A16DC" w:rsidRPr="00547FAB">
        <w:rPr>
          <w:rFonts w:ascii="Arial Narrow" w:eastAsia="Arial" w:hAnsi="Arial Narrow" w:cs="Arial"/>
          <w:b/>
          <w:bCs/>
          <w:sz w:val="18"/>
          <w:szCs w:val="18"/>
        </w:rPr>
        <w:t>K x 35 000 Kč</w:t>
      </w:r>
      <w:r w:rsidR="001A16DC" w:rsidRPr="00547FAB">
        <w:rPr>
          <w:rFonts w:ascii="Arial Narrow" w:eastAsia="Arial" w:hAnsi="Arial Narrow" w:cs="Arial"/>
          <w:bCs/>
          <w:sz w:val="18"/>
          <w:szCs w:val="18"/>
        </w:rPr>
        <w:t xml:space="preserve">, kde K – koeficient poměru počtu pojištěnců </w:t>
      </w:r>
      <w:r w:rsidR="00DC7B20" w:rsidRPr="00547FAB">
        <w:rPr>
          <w:rFonts w:ascii="Arial Narrow" w:eastAsia="Arial" w:hAnsi="Arial Narrow" w:cs="Arial"/>
          <w:bCs/>
          <w:sz w:val="18"/>
          <w:szCs w:val="18"/>
        </w:rPr>
        <w:t xml:space="preserve">Zdravotní </w:t>
      </w:r>
      <w:r w:rsidR="001A16DC" w:rsidRPr="00547FAB">
        <w:rPr>
          <w:rFonts w:ascii="Arial Narrow" w:eastAsia="Arial" w:hAnsi="Arial Narrow" w:cs="Arial"/>
          <w:bCs/>
          <w:sz w:val="18"/>
          <w:szCs w:val="18"/>
        </w:rPr>
        <w:t>pojišťovny v daném kraji, kde je poskytována lékařská pohotovostní služba</w:t>
      </w:r>
      <w:r w:rsidR="00C76657" w:rsidRPr="00547FAB">
        <w:rPr>
          <w:rFonts w:ascii="Arial Narrow" w:eastAsia="Arial" w:hAnsi="Arial Narrow" w:cs="Arial"/>
          <w:bCs/>
          <w:sz w:val="18"/>
          <w:szCs w:val="18"/>
        </w:rPr>
        <w:t>,</w:t>
      </w:r>
      <w:r w:rsidR="001A16DC" w:rsidRPr="00547FAB">
        <w:rPr>
          <w:rFonts w:ascii="Arial Narrow" w:eastAsia="Arial" w:hAnsi="Arial Narrow" w:cs="Arial"/>
          <w:bCs/>
          <w:sz w:val="18"/>
          <w:szCs w:val="18"/>
        </w:rPr>
        <w:t xml:space="preserve"> uvedený ve </w:t>
      </w:r>
      <w:r w:rsidR="00E53AFA" w:rsidRPr="00547FAB">
        <w:rPr>
          <w:rFonts w:ascii="Arial Narrow" w:eastAsia="Arial" w:hAnsi="Arial Narrow" w:cs="Arial"/>
          <w:bCs/>
          <w:sz w:val="18"/>
          <w:szCs w:val="18"/>
        </w:rPr>
        <w:t>v</w:t>
      </w:r>
      <w:r w:rsidR="001A16DC" w:rsidRPr="00547FAB">
        <w:rPr>
          <w:rFonts w:ascii="Arial Narrow" w:eastAsia="Arial" w:hAnsi="Arial Narrow" w:cs="Arial"/>
          <w:bCs/>
          <w:sz w:val="18"/>
          <w:szCs w:val="18"/>
        </w:rPr>
        <w:t xml:space="preserve">yhlášce </w:t>
      </w:r>
      <w:r w:rsidR="004A326E" w:rsidRPr="00547FAB">
        <w:rPr>
          <w:rFonts w:ascii="Arial Narrow" w:eastAsia="Arial" w:hAnsi="Arial Narrow" w:cs="Arial"/>
          <w:bCs/>
          <w:color w:val="auto"/>
          <w:sz w:val="18"/>
          <w:szCs w:val="18"/>
        </w:rPr>
        <w:t xml:space="preserve">č. </w:t>
      </w:r>
      <w:r w:rsidR="00C26C38" w:rsidRPr="00547FAB">
        <w:rPr>
          <w:rFonts w:ascii="Arial Narrow" w:eastAsia="Arial" w:hAnsi="Arial Narrow" w:cs="Arial"/>
          <w:bCs/>
          <w:color w:val="auto"/>
          <w:sz w:val="18"/>
          <w:szCs w:val="18"/>
        </w:rPr>
        <w:t>201/2018</w:t>
      </w:r>
      <w:r w:rsidR="001A16DC" w:rsidRPr="00547FAB">
        <w:rPr>
          <w:rFonts w:ascii="Arial Narrow" w:eastAsia="Arial" w:hAnsi="Arial Narrow" w:cs="Arial"/>
          <w:bCs/>
          <w:color w:val="auto"/>
          <w:sz w:val="18"/>
          <w:szCs w:val="18"/>
        </w:rPr>
        <w:t xml:space="preserve"> Sb</w:t>
      </w:r>
      <w:r w:rsidR="001A16DC" w:rsidRPr="00547FAB">
        <w:rPr>
          <w:rFonts w:ascii="Arial Narrow" w:eastAsia="Arial" w:hAnsi="Arial Narrow" w:cs="Arial"/>
          <w:bCs/>
          <w:color w:val="FF0000"/>
          <w:sz w:val="18"/>
          <w:szCs w:val="18"/>
        </w:rPr>
        <w:t>.</w:t>
      </w:r>
      <w:r w:rsidR="00E53AFA" w:rsidRPr="00547FAB">
        <w:rPr>
          <w:rFonts w:ascii="Arial Narrow" w:eastAsia="Arial" w:hAnsi="Arial Narrow" w:cs="Arial"/>
          <w:bCs/>
          <w:color w:val="FF0000"/>
          <w:sz w:val="18"/>
          <w:szCs w:val="18"/>
        </w:rPr>
        <w:t xml:space="preserve">, </w:t>
      </w:r>
      <w:r w:rsidR="00E53AFA" w:rsidRPr="00547FAB">
        <w:rPr>
          <w:rFonts w:ascii="Arial Narrow" w:eastAsia="Arial" w:hAnsi="Arial Narrow" w:cs="Arial"/>
          <w:bCs/>
          <w:sz w:val="18"/>
          <w:szCs w:val="18"/>
        </w:rPr>
        <w:t xml:space="preserve">o stanovení </w:t>
      </w:r>
      <w:r w:rsidR="00E53AFA" w:rsidRPr="00547FAB">
        <w:rPr>
          <w:rFonts w:ascii="Arial Narrow" w:eastAsia="Arial" w:hAnsi="Arial Narrow" w:cs="Arial"/>
          <w:bCs/>
          <w:sz w:val="18"/>
          <w:szCs w:val="18"/>
        </w:rPr>
        <w:lastRenderedPageBreak/>
        <w:t>hodnot bodu, výše úhrad hrazených služeb a regulačních omezení pro rok 201</w:t>
      </w:r>
      <w:r w:rsidR="00C26C38" w:rsidRPr="00547FAB">
        <w:rPr>
          <w:rFonts w:ascii="Arial Narrow" w:eastAsia="Arial" w:hAnsi="Arial Narrow" w:cs="Arial"/>
          <w:bCs/>
          <w:sz w:val="18"/>
          <w:szCs w:val="18"/>
        </w:rPr>
        <w:t>9</w:t>
      </w:r>
      <w:r w:rsidR="0032420A">
        <w:rPr>
          <w:rFonts w:ascii="Arial Narrow" w:eastAsia="Arial" w:hAnsi="Arial Narrow" w:cs="Arial"/>
          <w:bCs/>
          <w:sz w:val="18"/>
          <w:szCs w:val="18"/>
        </w:rPr>
        <w:t xml:space="preserve"> (dále jen „Vyhláška“)</w:t>
      </w:r>
      <w:r w:rsidR="00E53AFA" w:rsidRPr="00547FAB">
        <w:rPr>
          <w:rFonts w:ascii="Arial Narrow" w:eastAsia="Arial" w:hAnsi="Arial Narrow" w:cs="Arial"/>
          <w:bCs/>
          <w:sz w:val="18"/>
          <w:szCs w:val="18"/>
        </w:rPr>
        <w:t>.</w:t>
      </w:r>
      <w:r w:rsidR="001833DB" w:rsidRPr="00547FAB">
        <w:rPr>
          <w:rFonts w:ascii="Arial Narrow" w:eastAsia="Arial" w:hAnsi="Arial Narrow" w:cs="Arial"/>
          <w:bCs/>
          <w:sz w:val="18"/>
          <w:szCs w:val="18"/>
        </w:rPr>
        <w:t xml:space="preserve"> Úhrada bude provedena jednorázově </w:t>
      </w:r>
      <w:r w:rsidR="001833DB" w:rsidRPr="00547FAB">
        <w:rPr>
          <w:rFonts w:ascii="Arial Narrow" w:eastAsia="Arial" w:hAnsi="Arial Narrow" w:cs="Arial"/>
          <w:sz w:val="18"/>
          <w:szCs w:val="18"/>
        </w:rPr>
        <w:t xml:space="preserve">v rámci </w:t>
      </w:r>
      <w:r w:rsidR="001833DB" w:rsidRPr="00547FAB">
        <w:rPr>
          <w:rFonts w:ascii="Arial Narrow" w:eastAsia="Arial" w:hAnsi="Arial Narrow" w:cs="Arial"/>
          <w:bCs/>
          <w:sz w:val="18"/>
          <w:szCs w:val="18"/>
        </w:rPr>
        <w:t>finančního vyrovnání roku 201</w:t>
      </w:r>
      <w:r w:rsidR="00C26C38" w:rsidRPr="00547FAB">
        <w:rPr>
          <w:rFonts w:ascii="Arial Narrow" w:eastAsia="Arial" w:hAnsi="Arial Narrow" w:cs="Arial"/>
          <w:bCs/>
          <w:sz w:val="18"/>
          <w:szCs w:val="18"/>
        </w:rPr>
        <w:t>9</w:t>
      </w:r>
      <w:r w:rsidR="001833DB" w:rsidRPr="00547FAB">
        <w:rPr>
          <w:rFonts w:ascii="Arial Narrow" w:eastAsia="Arial" w:hAnsi="Arial Narrow" w:cs="Arial"/>
          <w:bCs/>
          <w:sz w:val="18"/>
          <w:szCs w:val="18"/>
        </w:rPr>
        <w:t>.</w:t>
      </w:r>
    </w:p>
    <w:p w14:paraId="020435DA" w14:textId="766EDACA" w:rsidR="00BF2312" w:rsidRPr="00547FAB" w:rsidRDefault="00BF2312" w:rsidP="00DC10CB">
      <w:pPr>
        <w:pStyle w:val="Zkladntext"/>
        <w:widowControl w:val="0"/>
        <w:numPr>
          <w:ilvl w:val="1"/>
          <w:numId w:val="17"/>
        </w:numPr>
        <w:suppressAutoHyphens/>
        <w:ind w:left="638" w:hanging="358"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bCs/>
          <w:sz w:val="18"/>
          <w:szCs w:val="18"/>
        </w:rPr>
        <w:t>V rámci finančního vyrovnání roku 201</w:t>
      </w:r>
      <w:r w:rsidR="00C26C38" w:rsidRPr="00547FAB">
        <w:rPr>
          <w:rFonts w:ascii="Arial Narrow" w:eastAsia="Arial" w:hAnsi="Arial Narrow" w:cs="Arial"/>
          <w:bCs/>
          <w:sz w:val="18"/>
          <w:szCs w:val="18"/>
        </w:rPr>
        <w:t>9</w:t>
      </w:r>
      <w:r w:rsidRPr="00547FAB">
        <w:rPr>
          <w:rFonts w:ascii="Arial Narrow" w:eastAsia="Arial" w:hAnsi="Arial Narrow" w:cs="Arial"/>
          <w:bCs/>
          <w:sz w:val="18"/>
          <w:szCs w:val="18"/>
        </w:rPr>
        <w:t xml:space="preserve"> obdrží </w:t>
      </w:r>
      <w:r w:rsidR="00DC7B20" w:rsidRPr="00547FAB">
        <w:rPr>
          <w:rFonts w:ascii="Arial Narrow" w:eastAsia="Arial" w:hAnsi="Arial Narrow" w:cs="Arial"/>
          <w:bCs/>
          <w:sz w:val="18"/>
          <w:szCs w:val="18"/>
        </w:rPr>
        <w:t xml:space="preserve">Poskytovatel </w:t>
      </w:r>
      <w:r w:rsidRPr="00547FAB">
        <w:rPr>
          <w:rFonts w:ascii="Arial Narrow" w:eastAsia="Arial" w:hAnsi="Arial Narrow" w:cs="Arial"/>
          <w:bCs/>
          <w:sz w:val="18"/>
          <w:szCs w:val="18"/>
        </w:rPr>
        <w:t xml:space="preserve">za každou vystavenou a </w:t>
      </w:r>
      <w:r w:rsidR="00DC7B20" w:rsidRPr="00547FAB">
        <w:rPr>
          <w:rFonts w:ascii="Arial Narrow" w:eastAsia="Arial" w:hAnsi="Arial Narrow" w:cs="Arial"/>
          <w:bCs/>
          <w:sz w:val="18"/>
          <w:szCs w:val="18"/>
        </w:rPr>
        <w:t>Zdravotní pojišťovnou</w:t>
      </w:r>
      <w:r w:rsidRPr="00547FAB">
        <w:rPr>
          <w:rFonts w:ascii="Arial Narrow" w:eastAsia="Arial" w:hAnsi="Arial Narrow" w:cs="Arial"/>
          <w:bCs/>
          <w:sz w:val="18"/>
          <w:szCs w:val="18"/>
        </w:rPr>
        <w:t xml:space="preserve"> uznanou položku na receptu v elektronické podobě v hodnoceném období, na základě nichž dojde k výdeji léčivých přípravků plně či částečně hrazených z veřejného zdravotního pojištění, úhradu ve výši 1,70 Kč.</w:t>
      </w:r>
    </w:p>
    <w:p w14:paraId="7E01F5AA" w14:textId="77777777" w:rsidR="00F25AAF" w:rsidRPr="00547FAB" w:rsidRDefault="00F25AAF" w:rsidP="00DC10CB">
      <w:pPr>
        <w:pStyle w:val="Zkladntext"/>
        <w:widowControl w:val="0"/>
        <w:numPr>
          <w:ilvl w:val="0"/>
          <w:numId w:val="17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Smluvní strany se dohodly, že aktuální výše kapitační platby na jednoho </w:t>
      </w:r>
      <w:r w:rsidR="00501D8F" w:rsidRPr="00547FAB">
        <w:rPr>
          <w:rFonts w:ascii="Arial Narrow" w:eastAsia="Arial" w:hAnsi="Arial Narrow" w:cs="Arial"/>
          <w:sz w:val="18"/>
          <w:szCs w:val="18"/>
        </w:rPr>
        <w:t xml:space="preserve">Poskytovatelem </w:t>
      </w:r>
      <w:r w:rsidRPr="00547FAB">
        <w:rPr>
          <w:rFonts w:ascii="Arial Narrow" w:eastAsia="Arial" w:hAnsi="Arial Narrow" w:cs="Arial"/>
          <w:sz w:val="18"/>
          <w:szCs w:val="18"/>
        </w:rPr>
        <w:t>registrovaného jednicového pojištěnce na kalendářní měsíc a základní hodnota bodu pro úhradu zdravotních služeb nezahrnutých do kapitační platby a pro úhradu nepravidelných služeb, budou pro příslušné období sdělovány prostřednictvím zúčtovacích zpráv.</w:t>
      </w:r>
    </w:p>
    <w:p w14:paraId="7E01F5AB" w14:textId="737F6C42" w:rsidR="009D3CB8" w:rsidRPr="00547FAB" w:rsidRDefault="00F25AAF" w:rsidP="00DC10CB">
      <w:pPr>
        <w:pStyle w:val="Zkladntext"/>
        <w:widowControl w:val="0"/>
        <w:numPr>
          <w:ilvl w:val="0"/>
          <w:numId w:val="17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Smluvní strany se dohodly na </w:t>
      </w:r>
      <w:r w:rsidRPr="00547FAB">
        <w:rPr>
          <w:rFonts w:ascii="Arial Narrow" w:eastAsia="Arial" w:hAnsi="Arial Narrow" w:cs="Arial"/>
          <w:b/>
          <w:sz w:val="18"/>
          <w:szCs w:val="18"/>
        </w:rPr>
        <w:t>uplatnění regulačních mechanismů</w:t>
      </w:r>
      <w:r w:rsidR="0034151C" w:rsidRPr="00547FAB">
        <w:rPr>
          <w:rFonts w:ascii="Arial Narrow" w:eastAsia="Arial" w:hAnsi="Arial Narrow" w:cs="Arial"/>
          <w:b/>
          <w:sz w:val="18"/>
          <w:szCs w:val="18"/>
        </w:rPr>
        <w:t xml:space="preserve">  </w:t>
      </w:r>
      <w:r w:rsidR="0034151C" w:rsidRPr="00547FAB">
        <w:rPr>
          <w:rFonts w:ascii="Arial Narrow" w:eastAsia="Arial" w:hAnsi="Arial Narrow" w:cs="Arial"/>
          <w:sz w:val="18"/>
          <w:szCs w:val="18"/>
        </w:rPr>
        <w:t xml:space="preserve">uvedených ve </w:t>
      </w:r>
      <w:r w:rsidR="0032420A">
        <w:rPr>
          <w:rFonts w:ascii="Arial Narrow" w:eastAsia="Arial" w:hAnsi="Arial Narrow" w:cs="Arial"/>
          <w:sz w:val="18"/>
          <w:szCs w:val="18"/>
        </w:rPr>
        <w:t>V</w:t>
      </w:r>
      <w:r w:rsidR="0034151C" w:rsidRPr="00547FAB">
        <w:rPr>
          <w:rFonts w:ascii="Arial Narrow" w:eastAsia="Arial" w:hAnsi="Arial Narrow" w:cs="Arial"/>
          <w:sz w:val="18"/>
          <w:szCs w:val="18"/>
        </w:rPr>
        <w:t>yhlášce</w:t>
      </w:r>
      <w:r w:rsidR="0032420A">
        <w:rPr>
          <w:rFonts w:ascii="Arial Narrow" w:eastAsia="Arial" w:hAnsi="Arial Narrow" w:cs="Arial"/>
          <w:sz w:val="18"/>
          <w:szCs w:val="18"/>
        </w:rPr>
        <w:t>,</w:t>
      </w:r>
      <w:r w:rsidR="0034151C"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r w:rsidR="00DB2D99" w:rsidRPr="00547FAB">
        <w:rPr>
          <w:rFonts w:ascii="Arial Narrow" w:eastAsia="Arial" w:hAnsi="Arial Narrow" w:cs="Arial"/>
          <w:bCs/>
          <w:sz w:val="18"/>
          <w:szCs w:val="18"/>
        </w:rPr>
        <w:t xml:space="preserve">v </w:t>
      </w:r>
      <w:r w:rsidR="0034151C" w:rsidRPr="00547FAB">
        <w:rPr>
          <w:rFonts w:ascii="Arial Narrow" w:eastAsia="Arial" w:hAnsi="Arial Narrow" w:cs="Arial"/>
          <w:sz w:val="18"/>
          <w:szCs w:val="18"/>
        </w:rPr>
        <w:t xml:space="preserve">Příloze č. 2, části D) s výjimkou </w:t>
      </w:r>
      <w:r w:rsidR="00DC10CB" w:rsidRPr="00547FAB">
        <w:rPr>
          <w:rFonts w:ascii="Arial Narrow" w:eastAsia="Arial" w:hAnsi="Arial Narrow" w:cs="Arial"/>
          <w:sz w:val="18"/>
          <w:szCs w:val="18"/>
        </w:rPr>
        <w:t>regulací uvedených v bodech</w:t>
      </w:r>
      <w:r w:rsidR="0034151C" w:rsidRPr="00547FAB">
        <w:rPr>
          <w:rFonts w:ascii="Arial Narrow" w:eastAsia="Arial" w:hAnsi="Arial Narrow" w:cs="Arial"/>
          <w:sz w:val="18"/>
          <w:szCs w:val="18"/>
        </w:rPr>
        <w:t xml:space="preserve"> 1.2 a 1.4</w:t>
      </w:r>
      <w:r w:rsidR="00DC10CB" w:rsidRPr="00547FAB">
        <w:rPr>
          <w:rFonts w:ascii="Arial Narrow" w:eastAsia="Arial" w:hAnsi="Arial Narrow" w:cs="Arial"/>
          <w:sz w:val="18"/>
          <w:szCs w:val="18"/>
        </w:rPr>
        <w:t>.</w:t>
      </w:r>
    </w:p>
    <w:p w14:paraId="078D1AC4" w14:textId="0204F950" w:rsidR="00DC10CB" w:rsidRPr="00547FAB" w:rsidRDefault="00DC10CB" w:rsidP="00DC10CB">
      <w:pPr>
        <w:pStyle w:val="Zkladntext"/>
        <w:widowControl w:val="0"/>
        <w:numPr>
          <w:ilvl w:val="0"/>
          <w:numId w:val="17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 xml:space="preserve">Regulace uvedené </w:t>
      </w:r>
      <w:r w:rsidR="0032420A">
        <w:rPr>
          <w:rFonts w:ascii="Arial Narrow" w:eastAsia="Arial" w:hAnsi="Arial Narrow" w:cs="Arial"/>
          <w:sz w:val="18"/>
          <w:szCs w:val="18"/>
        </w:rPr>
        <w:t>v</w:t>
      </w:r>
      <w:r w:rsidR="00206539">
        <w:rPr>
          <w:rFonts w:ascii="Arial Narrow" w:eastAsia="Arial" w:hAnsi="Arial Narrow" w:cs="Arial"/>
          <w:sz w:val="18"/>
          <w:szCs w:val="18"/>
        </w:rPr>
        <w:t xml:space="preserve"> předchozím </w:t>
      </w:r>
      <w:r w:rsidRPr="00547FAB">
        <w:rPr>
          <w:rFonts w:ascii="Arial Narrow" w:eastAsia="Arial" w:hAnsi="Arial Narrow" w:cs="Arial"/>
          <w:sz w:val="18"/>
          <w:szCs w:val="18"/>
        </w:rPr>
        <w:t>bod</w:t>
      </w:r>
      <w:r w:rsidR="00BD69FC">
        <w:rPr>
          <w:rFonts w:ascii="Arial Narrow" w:eastAsia="Arial" w:hAnsi="Arial Narrow" w:cs="Arial"/>
          <w:sz w:val="18"/>
          <w:szCs w:val="18"/>
        </w:rPr>
        <w:t>u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</w:t>
      </w:r>
      <w:r w:rsidR="00BD69FC">
        <w:rPr>
          <w:rFonts w:ascii="Arial Narrow" w:eastAsia="Arial" w:hAnsi="Arial Narrow" w:cs="Arial"/>
          <w:sz w:val="18"/>
          <w:szCs w:val="18"/>
        </w:rPr>
        <w:t xml:space="preserve">tohoto </w:t>
      </w:r>
      <w:r w:rsidR="00206539">
        <w:rPr>
          <w:rFonts w:ascii="Arial Narrow" w:eastAsia="Arial" w:hAnsi="Arial Narrow" w:cs="Arial"/>
          <w:sz w:val="18"/>
          <w:szCs w:val="18"/>
        </w:rPr>
        <w:t xml:space="preserve">článku </w:t>
      </w:r>
      <w:r w:rsidR="00BD69FC">
        <w:rPr>
          <w:rFonts w:ascii="Arial Narrow" w:eastAsia="Arial" w:hAnsi="Arial Narrow" w:cs="Arial"/>
          <w:sz w:val="18"/>
          <w:szCs w:val="18"/>
        </w:rPr>
        <w:t>Dodatku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se neuplatní nebo se uplatní pouze z části v případě, že Poskytovatel průkazně ve více než 50% případů předepisuje léčivé přípravky uvedené na pozitivním listu </w:t>
      </w:r>
      <w:r w:rsidR="0032420A">
        <w:rPr>
          <w:rFonts w:ascii="Arial Narrow" w:eastAsia="Arial" w:hAnsi="Arial Narrow" w:cs="Arial"/>
          <w:sz w:val="18"/>
          <w:szCs w:val="18"/>
        </w:rPr>
        <w:t xml:space="preserve">Zdravotní </w:t>
      </w:r>
      <w:proofErr w:type="spellStart"/>
      <w:r w:rsidR="0032420A">
        <w:rPr>
          <w:rFonts w:ascii="Arial Narrow" w:eastAsia="Arial" w:hAnsi="Arial Narrow" w:cs="Arial"/>
          <w:sz w:val="18"/>
          <w:szCs w:val="18"/>
        </w:rPr>
        <w:t>pojišťonvy</w:t>
      </w:r>
      <w:proofErr w:type="spellEnd"/>
      <w:r w:rsidRPr="00547FAB">
        <w:rPr>
          <w:rFonts w:ascii="Arial Narrow" w:eastAsia="Arial" w:hAnsi="Arial Narrow" w:cs="Arial"/>
          <w:sz w:val="18"/>
          <w:szCs w:val="18"/>
        </w:rPr>
        <w:t xml:space="preserve">, respektive </w:t>
      </w:r>
      <w:r w:rsidR="0032420A" w:rsidRPr="00FC09A7">
        <w:rPr>
          <w:rFonts w:ascii="Arial Narrow" w:eastAsia="Arial" w:hAnsi="Arial Narrow" w:cs="Arial"/>
          <w:bCs/>
          <w:sz w:val="18"/>
          <w:szCs w:val="18"/>
        </w:rPr>
        <w:t>Svaz</w:t>
      </w:r>
      <w:r w:rsidR="0032420A">
        <w:rPr>
          <w:rFonts w:ascii="Arial Narrow" w:eastAsia="Arial" w:hAnsi="Arial Narrow" w:cs="Arial"/>
          <w:bCs/>
          <w:sz w:val="18"/>
          <w:szCs w:val="18"/>
        </w:rPr>
        <w:t>u</w:t>
      </w:r>
      <w:r w:rsidR="0032420A" w:rsidRPr="00FC09A7">
        <w:rPr>
          <w:rFonts w:ascii="Arial Narrow" w:eastAsia="Arial" w:hAnsi="Arial Narrow" w:cs="Arial"/>
          <w:bCs/>
          <w:sz w:val="18"/>
          <w:szCs w:val="18"/>
        </w:rPr>
        <w:t xml:space="preserve"> zdravotních pojišťoven České republiky (ve zkratce "SZP ČR")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. </w:t>
      </w:r>
    </w:p>
    <w:p w14:paraId="37D056F0" w14:textId="73E49A6A" w:rsidR="00DC10CB" w:rsidRPr="00547FAB" w:rsidRDefault="00DC10CB" w:rsidP="00DC10CB">
      <w:pPr>
        <w:pStyle w:val="Zkladntext"/>
        <w:widowControl w:val="0"/>
        <w:numPr>
          <w:ilvl w:val="0"/>
          <w:numId w:val="17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>Zdravotní pojišťovna zohlednění důvodný nárůst preskripce způsobený předepisováním léčivých přípravků, u kterých došlo v důsledku dohody mezi Poskytovatelem a Zdravotní pojišťovnou ke změkčení indikačních omezení.</w:t>
      </w:r>
    </w:p>
    <w:p w14:paraId="5C34E949" w14:textId="65B4D17E" w:rsidR="00DC10CB" w:rsidRPr="00547FAB" w:rsidRDefault="00F25AAF" w:rsidP="00DC10CB">
      <w:pPr>
        <w:pStyle w:val="Zkladntext"/>
        <w:widowControl w:val="0"/>
        <w:numPr>
          <w:ilvl w:val="0"/>
          <w:numId w:val="17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>Informační povinnosti vyplývající z tohoto Dodatku může Zdravotní pojišťovna plnit i prostřednictvím elektronické komunikace.</w:t>
      </w:r>
    </w:p>
    <w:p w14:paraId="1DD3868B" w14:textId="689FF781" w:rsidR="00DC10CB" w:rsidRPr="00547FAB" w:rsidRDefault="006248AC" w:rsidP="00DC10CB">
      <w:pPr>
        <w:pStyle w:val="Zkladntext"/>
        <w:widowControl w:val="0"/>
        <w:numPr>
          <w:ilvl w:val="0"/>
          <w:numId w:val="17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>Smluvní strany se dohodly, že za zdravotní služby poskytnuté v roce 201</w:t>
      </w:r>
      <w:r w:rsidR="00817E51" w:rsidRPr="00547FAB">
        <w:rPr>
          <w:rFonts w:ascii="Arial Narrow" w:eastAsia="Arial" w:hAnsi="Arial Narrow" w:cs="Arial"/>
          <w:sz w:val="18"/>
          <w:szCs w:val="18"/>
        </w:rPr>
        <w:t>9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se považují veškeré hrazené zdravotní služby tohoto druhu poskytnuté pojištěncům Zdravotní pojišťovny v období od </w:t>
      </w:r>
      <w:r w:rsidRPr="00547FAB">
        <w:rPr>
          <w:rFonts w:ascii="Arial Narrow" w:eastAsia="Arial" w:hAnsi="Arial Narrow" w:cs="Arial"/>
          <w:sz w:val="18"/>
          <w:szCs w:val="18"/>
          <w:highlight w:val="yellow"/>
        </w:rPr>
        <w:t>DATUM(DATE)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do </w:t>
      </w:r>
      <w:proofErr w:type="gramStart"/>
      <w:r w:rsidRPr="00547FAB">
        <w:rPr>
          <w:rFonts w:ascii="Arial Narrow" w:eastAsia="Arial" w:hAnsi="Arial Narrow" w:cs="Arial"/>
          <w:sz w:val="18"/>
          <w:szCs w:val="18"/>
        </w:rPr>
        <w:t>31.12.201</w:t>
      </w:r>
      <w:r w:rsidR="00817E51" w:rsidRPr="00547FAB">
        <w:rPr>
          <w:rFonts w:ascii="Arial Narrow" w:eastAsia="Arial" w:hAnsi="Arial Narrow" w:cs="Arial"/>
          <w:sz w:val="18"/>
          <w:szCs w:val="18"/>
        </w:rPr>
        <w:t>9</w:t>
      </w:r>
      <w:proofErr w:type="gramEnd"/>
      <w:r w:rsidRPr="00547FAB">
        <w:rPr>
          <w:rFonts w:ascii="Arial Narrow" w:eastAsia="Arial" w:hAnsi="Arial Narrow" w:cs="Arial"/>
          <w:sz w:val="18"/>
          <w:szCs w:val="18"/>
        </w:rPr>
        <w:t>, které Poskytovatel vykáže do 31.3.20</w:t>
      </w:r>
      <w:r w:rsidR="00817E51" w:rsidRPr="00547FAB">
        <w:rPr>
          <w:rFonts w:ascii="Arial Narrow" w:eastAsia="Arial" w:hAnsi="Arial Narrow" w:cs="Arial"/>
          <w:sz w:val="18"/>
          <w:szCs w:val="18"/>
        </w:rPr>
        <w:t>20</w:t>
      </w:r>
      <w:r w:rsidR="00F25AAF" w:rsidRPr="00547FAB">
        <w:rPr>
          <w:rFonts w:ascii="Arial Narrow" w:eastAsia="Arial" w:hAnsi="Arial Narrow" w:cs="Arial"/>
          <w:sz w:val="18"/>
          <w:szCs w:val="18"/>
        </w:rPr>
        <w:t xml:space="preserve">. Vyhodnocení dopadu regulačních mechanismů </w:t>
      </w:r>
      <w:r w:rsidR="00E858E2" w:rsidRPr="00547FAB">
        <w:rPr>
          <w:rFonts w:ascii="Arial Narrow" w:eastAsia="Arial" w:hAnsi="Arial Narrow" w:cs="Arial"/>
          <w:sz w:val="18"/>
          <w:szCs w:val="18"/>
        </w:rPr>
        <w:t xml:space="preserve">a závěrečné finanční vyrovnání </w:t>
      </w:r>
      <w:r w:rsidR="00F25AAF" w:rsidRPr="00547FAB">
        <w:rPr>
          <w:rFonts w:ascii="Arial Narrow" w:eastAsia="Arial" w:hAnsi="Arial Narrow" w:cs="Arial"/>
          <w:sz w:val="18"/>
          <w:szCs w:val="18"/>
        </w:rPr>
        <w:t>předloží Zdravotní pojišťovna Poskytovateli nejpozději do 1</w:t>
      </w:r>
      <w:r w:rsidR="005051CC" w:rsidRPr="00547FAB">
        <w:rPr>
          <w:rFonts w:ascii="Arial Narrow" w:eastAsia="Arial" w:hAnsi="Arial Narrow" w:cs="Arial"/>
          <w:sz w:val="18"/>
          <w:szCs w:val="18"/>
        </w:rPr>
        <w:t>5</w:t>
      </w:r>
      <w:r w:rsidR="00F25AAF" w:rsidRPr="00547FAB">
        <w:rPr>
          <w:rFonts w:ascii="Arial Narrow" w:eastAsia="Arial" w:hAnsi="Arial Narrow" w:cs="Arial"/>
          <w:sz w:val="18"/>
          <w:szCs w:val="18"/>
        </w:rPr>
        <w:t>0 dnů po skonče</w:t>
      </w:r>
      <w:r w:rsidR="00E112A9" w:rsidRPr="00547FAB">
        <w:rPr>
          <w:rFonts w:ascii="Arial Narrow" w:eastAsia="Arial" w:hAnsi="Arial Narrow" w:cs="Arial"/>
          <w:sz w:val="18"/>
          <w:szCs w:val="18"/>
        </w:rPr>
        <w:t>n</w:t>
      </w:r>
      <w:r w:rsidR="00F25AAF" w:rsidRPr="00547FAB">
        <w:rPr>
          <w:rFonts w:ascii="Arial Narrow" w:eastAsia="Arial" w:hAnsi="Arial Narrow" w:cs="Arial"/>
          <w:sz w:val="18"/>
          <w:szCs w:val="18"/>
        </w:rPr>
        <w:t>í roku 201</w:t>
      </w:r>
      <w:r w:rsidR="00817E51" w:rsidRPr="00547FAB">
        <w:rPr>
          <w:rFonts w:ascii="Arial Narrow" w:eastAsia="Arial" w:hAnsi="Arial Narrow" w:cs="Arial"/>
          <w:sz w:val="18"/>
          <w:szCs w:val="18"/>
        </w:rPr>
        <w:t>9</w:t>
      </w:r>
      <w:r w:rsidR="00F25AAF" w:rsidRPr="00547FAB">
        <w:rPr>
          <w:rFonts w:ascii="Arial Narrow" w:eastAsia="Arial" w:hAnsi="Arial Narrow" w:cs="Arial"/>
          <w:sz w:val="18"/>
          <w:szCs w:val="18"/>
        </w:rPr>
        <w:t xml:space="preserve"> a ponechá Poskytovateli 30denní lhůtu pro uplatnění případných námitek. </w:t>
      </w:r>
    </w:p>
    <w:p w14:paraId="7E01F5B7" w14:textId="5BE6EBCD" w:rsidR="00F25AAF" w:rsidRPr="00547FAB" w:rsidRDefault="00F25AAF" w:rsidP="00DC10CB">
      <w:pPr>
        <w:pStyle w:val="Zkladntext"/>
        <w:widowControl w:val="0"/>
        <w:numPr>
          <w:ilvl w:val="0"/>
          <w:numId w:val="17"/>
        </w:numPr>
        <w:suppressAutoHyphens/>
        <w:rPr>
          <w:rFonts w:ascii="Arial Narrow" w:eastAsia="Arial" w:hAnsi="Arial Narrow" w:cs="Arial"/>
          <w:sz w:val="18"/>
          <w:szCs w:val="18"/>
        </w:rPr>
      </w:pPr>
      <w:r w:rsidRPr="00547FAB">
        <w:rPr>
          <w:rFonts w:ascii="Arial Narrow" w:eastAsia="Arial" w:hAnsi="Arial Narrow" w:cs="Arial"/>
          <w:sz w:val="18"/>
          <w:szCs w:val="18"/>
        </w:rPr>
        <w:t>V případě uplatnění námitek k vyhodnocení regulačních mechanismů za rok 201</w:t>
      </w:r>
      <w:r w:rsidR="00817E51" w:rsidRPr="00547FAB">
        <w:rPr>
          <w:rFonts w:ascii="Arial Narrow" w:eastAsia="Arial" w:hAnsi="Arial Narrow" w:cs="Arial"/>
          <w:sz w:val="18"/>
          <w:szCs w:val="18"/>
        </w:rPr>
        <w:t>9</w:t>
      </w:r>
      <w:r w:rsidRPr="00547FAB">
        <w:rPr>
          <w:rFonts w:ascii="Arial Narrow" w:eastAsia="Arial" w:hAnsi="Arial Narrow" w:cs="Arial"/>
          <w:sz w:val="18"/>
          <w:szCs w:val="18"/>
        </w:rPr>
        <w:t xml:space="preserve"> se Poskytovatel zavazuje uvést Zdravotní pojišťovně důvody překročení parametrů úhrad uvedených v tomto Dodatku, tj. konkrétní zdůvodnění zvýšených nákladů. </w:t>
      </w:r>
    </w:p>
    <w:p w14:paraId="7E01F5B8" w14:textId="77777777" w:rsidR="0063088D" w:rsidRPr="00547FAB" w:rsidRDefault="0063088D" w:rsidP="0063088D">
      <w:pPr>
        <w:pStyle w:val="Zkladntext"/>
        <w:widowControl w:val="0"/>
        <w:suppressAutoHyphens/>
        <w:rPr>
          <w:rFonts w:ascii="Arial Narrow" w:eastAsia="Arial" w:hAnsi="Arial Narrow" w:cs="Arial"/>
          <w:sz w:val="18"/>
          <w:szCs w:val="18"/>
        </w:rPr>
      </w:pPr>
    </w:p>
    <w:p w14:paraId="7E01F5B9" w14:textId="77777777" w:rsidR="00F25AAF" w:rsidRPr="00547FAB" w:rsidRDefault="00F25AAF" w:rsidP="00F25AAF">
      <w:pPr>
        <w:pStyle w:val="Zkladntext"/>
        <w:keepNext/>
        <w:keepLines/>
        <w:jc w:val="center"/>
        <w:rPr>
          <w:rFonts w:ascii="Arial Narrow" w:hAnsi="Arial Narrow"/>
          <w:b/>
          <w:bCs/>
          <w:sz w:val="18"/>
          <w:szCs w:val="18"/>
        </w:rPr>
      </w:pPr>
      <w:r w:rsidRPr="00547FAB">
        <w:rPr>
          <w:rFonts w:ascii="Arial Narrow" w:hAnsi="Arial Narrow"/>
          <w:b/>
          <w:bCs/>
          <w:sz w:val="18"/>
          <w:szCs w:val="18"/>
        </w:rPr>
        <w:t>III.</w:t>
      </w:r>
    </w:p>
    <w:p w14:paraId="7E01F5BA" w14:textId="77777777" w:rsidR="00D53920" w:rsidRPr="00547FAB" w:rsidRDefault="00D53920" w:rsidP="00D53920">
      <w:pPr>
        <w:pStyle w:val="Zkladntext"/>
        <w:numPr>
          <w:ilvl w:val="0"/>
          <w:numId w:val="13"/>
        </w:numPr>
        <w:rPr>
          <w:rFonts w:ascii="Arial Narrow" w:hAnsi="Arial Narrow" w:cs="Arial"/>
          <w:sz w:val="18"/>
          <w:szCs w:val="18"/>
        </w:rPr>
      </w:pPr>
      <w:r w:rsidRPr="00547FAB">
        <w:rPr>
          <w:rFonts w:ascii="Arial Narrow" w:hAnsi="Arial Narrow" w:cs="Arial"/>
          <w:sz w:val="18"/>
          <w:szCs w:val="18"/>
        </w:rPr>
        <w:t>Smlouvou, ve smyslu tohoto Dodatku, je dříve uzavřená příslušná Smlouva o poskytování a úhradě zdravotní péče, resp. příslušná Smlouva o poskytování a úhradě zdravotních služeb hrazených z veřejného zdravotního pojištění</w:t>
      </w:r>
      <w:r w:rsidR="003B3847" w:rsidRPr="00547FAB">
        <w:rPr>
          <w:rFonts w:ascii="Arial Narrow" w:hAnsi="Arial Narrow" w:cs="Arial"/>
          <w:sz w:val="18"/>
          <w:szCs w:val="18"/>
        </w:rPr>
        <w:t xml:space="preserve"> (dále jen „Smlouva“)</w:t>
      </w:r>
      <w:r w:rsidRPr="00547FAB">
        <w:rPr>
          <w:rFonts w:ascii="Arial Narrow" w:hAnsi="Arial Narrow" w:cs="Arial"/>
          <w:sz w:val="18"/>
          <w:szCs w:val="18"/>
        </w:rPr>
        <w:t>.</w:t>
      </w:r>
    </w:p>
    <w:p w14:paraId="7E01F5BB" w14:textId="77777777" w:rsidR="00D53920" w:rsidRPr="00547FAB" w:rsidRDefault="003B3847" w:rsidP="00D53920">
      <w:pPr>
        <w:pStyle w:val="Zkladntext"/>
        <w:numPr>
          <w:ilvl w:val="0"/>
          <w:numId w:val="13"/>
        </w:numPr>
        <w:rPr>
          <w:rFonts w:ascii="Arial Narrow" w:hAnsi="Arial Narrow" w:cs="Arial"/>
          <w:sz w:val="18"/>
          <w:szCs w:val="18"/>
        </w:rPr>
      </w:pPr>
      <w:r w:rsidRPr="00547FAB">
        <w:rPr>
          <w:rFonts w:ascii="Arial Narrow" w:hAnsi="Arial Narrow" w:cs="Arial"/>
          <w:sz w:val="18"/>
          <w:szCs w:val="18"/>
        </w:rPr>
        <w:t xml:space="preserve">Poměry, </w:t>
      </w:r>
      <w:r w:rsidR="00D53920" w:rsidRPr="00547FAB">
        <w:rPr>
          <w:rFonts w:ascii="Arial Narrow" w:hAnsi="Arial Narrow" w:cs="Arial"/>
          <w:sz w:val="18"/>
          <w:szCs w:val="18"/>
        </w:rPr>
        <w:t xml:space="preserve">které nejsou výslovně upraveny tímto Dodatkem, se řídí příslušnými ustanoveními platné Smlouvy. </w:t>
      </w:r>
    </w:p>
    <w:p w14:paraId="7E01F5BC" w14:textId="77777777" w:rsidR="00D53920" w:rsidRPr="00547FAB" w:rsidRDefault="00D53920" w:rsidP="00D53920">
      <w:pPr>
        <w:pStyle w:val="Zkladntext"/>
        <w:numPr>
          <w:ilvl w:val="0"/>
          <w:numId w:val="13"/>
        </w:numPr>
        <w:rPr>
          <w:rFonts w:ascii="Arial Narrow" w:hAnsi="Arial Narrow" w:cs="Arial"/>
          <w:color w:val="auto"/>
          <w:sz w:val="18"/>
          <w:szCs w:val="18"/>
        </w:rPr>
      </w:pPr>
      <w:r w:rsidRPr="00547FAB">
        <w:rPr>
          <w:rFonts w:ascii="Arial Narrow" w:hAnsi="Arial Narrow" w:cs="Arial"/>
          <w:color w:val="auto"/>
          <w:sz w:val="18"/>
          <w:szCs w:val="18"/>
        </w:rPr>
        <w:t>Tento Dodatek se stává nedílnou součástí platné Smlouvy.</w:t>
      </w:r>
    </w:p>
    <w:p w14:paraId="7E01F5BD" w14:textId="77777777" w:rsidR="00D53920" w:rsidRPr="00547FAB" w:rsidRDefault="00D53920" w:rsidP="00D53920">
      <w:pPr>
        <w:pStyle w:val="Zkladntext"/>
        <w:numPr>
          <w:ilvl w:val="0"/>
          <w:numId w:val="13"/>
        </w:numPr>
        <w:rPr>
          <w:rFonts w:ascii="Arial Narrow" w:hAnsi="Arial Narrow" w:cs="Arial"/>
          <w:color w:val="auto"/>
          <w:sz w:val="18"/>
          <w:szCs w:val="18"/>
        </w:rPr>
      </w:pPr>
      <w:r w:rsidRPr="00547FAB">
        <w:rPr>
          <w:rFonts w:ascii="Arial Narrow" w:hAnsi="Arial Narrow" w:cs="Arial"/>
          <w:color w:val="auto"/>
          <w:sz w:val="18"/>
          <w:szCs w:val="18"/>
        </w:rPr>
        <w:t>Tento Dodatek nabývá platnosti dnem podpisu oběma smluvními stranami a účinností dnem zveřejnění podle zákona č. 48/1997 S</w:t>
      </w:r>
      <w:r w:rsidR="001E5064" w:rsidRPr="00547FAB">
        <w:rPr>
          <w:rFonts w:ascii="Arial Narrow" w:hAnsi="Arial Narrow" w:cs="Arial"/>
          <w:color w:val="auto"/>
          <w:sz w:val="18"/>
          <w:szCs w:val="18"/>
        </w:rPr>
        <w:t>b</w:t>
      </w:r>
      <w:r w:rsidR="00C9271B" w:rsidRPr="00547FAB">
        <w:rPr>
          <w:rFonts w:ascii="Arial Narrow" w:hAnsi="Arial Narrow" w:cs="Arial"/>
          <w:color w:val="auto"/>
          <w:sz w:val="18"/>
          <w:szCs w:val="18"/>
        </w:rPr>
        <w:t>.</w:t>
      </w:r>
    </w:p>
    <w:p w14:paraId="7E01F5BE" w14:textId="44F0EC71" w:rsidR="00D53920" w:rsidRPr="00547FAB" w:rsidRDefault="00D53920" w:rsidP="00D53920">
      <w:pPr>
        <w:pStyle w:val="Zkladntext"/>
        <w:numPr>
          <w:ilvl w:val="0"/>
          <w:numId w:val="13"/>
        </w:numPr>
        <w:rPr>
          <w:rFonts w:ascii="Arial Narrow" w:hAnsi="Arial Narrow" w:cs="Arial"/>
          <w:color w:val="auto"/>
          <w:sz w:val="18"/>
          <w:szCs w:val="18"/>
        </w:rPr>
      </w:pPr>
      <w:r w:rsidRPr="00547FAB">
        <w:rPr>
          <w:rFonts w:ascii="Arial Narrow" w:hAnsi="Arial Narrow" w:cs="Arial"/>
          <w:color w:val="auto"/>
          <w:sz w:val="18"/>
          <w:szCs w:val="18"/>
        </w:rPr>
        <w:t xml:space="preserve">Smluvní strany se dohodly, že tento Dodatek, a zejména způsob úhrady, výše úhrady a regulační omezení úhrady sjednané v tomto Dodatku, se použijí pro období od </w:t>
      </w:r>
      <w:r w:rsidRPr="00547FAB">
        <w:rPr>
          <w:rFonts w:ascii="Arial Narrow" w:hAnsi="Arial Narrow" w:cs="Arial"/>
          <w:color w:val="FF0000"/>
          <w:sz w:val="18"/>
          <w:szCs w:val="18"/>
          <w:highlight w:val="yellow"/>
        </w:rPr>
        <w:t>DATUM</w:t>
      </w:r>
      <w:r w:rsidRPr="00547FAB">
        <w:rPr>
          <w:rFonts w:ascii="Arial Narrow" w:hAnsi="Arial Narrow" w:cs="Arial"/>
          <w:color w:val="0000CC"/>
          <w:sz w:val="18"/>
          <w:szCs w:val="18"/>
          <w:highlight w:val="yellow"/>
        </w:rPr>
        <w:t>(DATE)</w:t>
      </w:r>
      <w:r w:rsidRPr="00547FAB">
        <w:rPr>
          <w:rFonts w:ascii="Arial Narrow" w:hAnsi="Arial Narrow" w:cs="Arial"/>
          <w:color w:val="auto"/>
          <w:sz w:val="18"/>
          <w:szCs w:val="18"/>
        </w:rPr>
        <w:t xml:space="preserve"> do </w:t>
      </w:r>
      <w:proofErr w:type="gramStart"/>
      <w:r w:rsidRPr="00547FAB">
        <w:rPr>
          <w:rFonts w:ascii="Arial Narrow" w:hAnsi="Arial Narrow" w:cs="Arial"/>
          <w:color w:val="auto"/>
          <w:sz w:val="18"/>
          <w:szCs w:val="18"/>
        </w:rPr>
        <w:t>31.12.201</w:t>
      </w:r>
      <w:r w:rsidR="00817E51" w:rsidRPr="00547FAB">
        <w:rPr>
          <w:rFonts w:ascii="Arial Narrow" w:hAnsi="Arial Narrow" w:cs="Arial"/>
          <w:color w:val="auto"/>
          <w:sz w:val="18"/>
          <w:szCs w:val="18"/>
        </w:rPr>
        <w:t>9</w:t>
      </w:r>
      <w:proofErr w:type="gramEnd"/>
      <w:r w:rsidRPr="00547FAB">
        <w:rPr>
          <w:rFonts w:ascii="Arial Narrow" w:hAnsi="Arial Narrow" w:cs="Arial"/>
          <w:color w:val="auto"/>
          <w:sz w:val="18"/>
          <w:szCs w:val="18"/>
        </w:rPr>
        <w:t>.</w:t>
      </w:r>
    </w:p>
    <w:p w14:paraId="7E01F5BF" w14:textId="77777777" w:rsidR="00D53920" w:rsidRPr="00547FAB" w:rsidRDefault="00D53920" w:rsidP="00D53920">
      <w:pPr>
        <w:pStyle w:val="Odstavecseseznamem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  <w:lang w:eastAsia="en-US"/>
        </w:rPr>
      </w:pPr>
      <w:r w:rsidRPr="00547FAB">
        <w:rPr>
          <w:rFonts w:ascii="Arial Narrow" w:hAnsi="Arial Narrow" w:cs="Arial"/>
          <w:bCs/>
          <w:sz w:val="18"/>
          <w:szCs w:val="18"/>
          <w:lang w:eastAsia="en-US"/>
        </w:rPr>
        <w:t xml:space="preserve">Smluvní strany berou na vědomí, že Smlouva včetně jejích příloh, změn a všech dodatků, z nichž vyplývá výše úhrady </w:t>
      </w:r>
      <w:r w:rsidR="003B3847" w:rsidRPr="00547FAB">
        <w:rPr>
          <w:rFonts w:ascii="Arial Narrow" w:hAnsi="Arial Narrow" w:cs="Arial"/>
          <w:bCs/>
          <w:sz w:val="18"/>
          <w:szCs w:val="18"/>
          <w:lang w:eastAsia="en-US"/>
        </w:rPr>
        <w:t>Z</w:t>
      </w:r>
      <w:r w:rsidRPr="00547FAB">
        <w:rPr>
          <w:rFonts w:ascii="Arial Narrow" w:hAnsi="Arial Narrow" w:cs="Arial"/>
          <w:bCs/>
          <w:sz w:val="18"/>
          <w:szCs w:val="18"/>
          <w:lang w:eastAsia="en-US"/>
        </w:rPr>
        <w:t>dravotní pojišťovny Poskytovateli za poskytnuté hrazené služby nebo rozsah poskytovaných hrazených služeb,</w:t>
      </w:r>
      <w:r w:rsidRPr="00547FAB" w:rsidDel="00ED3CFD">
        <w:rPr>
          <w:rFonts w:ascii="Arial Narrow" w:hAnsi="Arial Narrow" w:cs="Arial"/>
          <w:bCs/>
          <w:sz w:val="18"/>
          <w:szCs w:val="18"/>
          <w:lang w:eastAsia="en-US"/>
        </w:rPr>
        <w:t xml:space="preserve"> </w:t>
      </w:r>
      <w:r w:rsidRPr="00547FAB">
        <w:rPr>
          <w:rFonts w:ascii="Arial Narrow" w:hAnsi="Arial Narrow" w:cs="Arial"/>
          <w:bCs/>
          <w:sz w:val="18"/>
          <w:szCs w:val="18"/>
          <w:lang w:eastAsia="en-US"/>
        </w:rPr>
        <w:t xml:space="preserve">bude zveřejněna na základě zákonem uložené povinnosti Zdravotní pojišťovny. </w:t>
      </w:r>
    </w:p>
    <w:p w14:paraId="7E01F5C0" w14:textId="77777777" w:rsidR="00D53920" w:rsidRPr="00547FAB" w:rsidRDefault="00D53920" w:rsidP="00D53920">
      <w:pPr>
        <w:pStyle w:val="Zkladntext"/>
        <w:numPr>
          <w:ilvl w:val="0"/>
          <w:numId w:val="13"/>
        </w:numPr>
        <w:rPr>
          <w:rFonts w:ascii="Arial Narrow" w:hAnsi="Arial Narrow" w:cs="Arial"/>
          <w:sz w:val="18"/>
          <w:szCs w:val="18"/>
          <w:lang w:eastAsia="en-US"/>
        </w:rPr>
      </w:pPr>
      <w:r w:rsidRPr="00547FAB">
        <w:rPr>
          <w:rFonts w:ascii="Arial Narrow" w:hAnsi="Arial Narrow" w:cs="Arial"/>
          <w:color w:val="auto"/>
          <w:sz w:val="18"/>
          <w:szCs w:val="18"/>
        </w:rPr>
        <w:t xml:space="preserve">Smluvní strany se dohodly, že v případě aktivované datové schránky může být doručování prostřednictvím datové schránky použito k závazným </w:t>
      </w:r>
      <w:r w:rsidRPr="00547FAB">
        <w:rPr>
          <w:rFonts w:ascii="Arial Narrow" w:hAnsi="Arial Narrow" w:cs="Arial"/>
          <w:sz w:val="18"/>
          <w:szCs w:val="18"/>
        </w:rPr>
        <w:t>smluvním jednáním.</w:t>
      </w:r>
    </w:p>
    <w:p w14:paraId="7E01F5C1" w14:textId="77777777" w:rsidR="00D53920" w:rsidRPr="00547FAB" w:rsidRDefault="00D53920" w:rsidP="00D53920">
      <w:pPr>
        <w:pStyle w:val="Zkladntext"/>
        <w:numPr>
          <w:ilvl w:val="0"/>
          <w:numId w:val="13"/>
        </w:numPr>
        <w:rPr>
          <w:rFonts w:ascii="Arial Narrow" w:hAnsi="Arial Narrow" w:cs="Arial"/>
          <w:b/>
          <w:bCs/>
          <w:sz w:val="18"/>
          <w:szCs w:val="18"/>
        </w:rPr>
      </w:pPr>
      <w:r w:rsidRPr="00547FAB">
        <w:rPr>
          <w:rFonts w:ascii="Arial Narrow" w:hAnsi="Arial Narrow" w:cs="Arial"/>
          <w:sz w:val="18"/>
          <w:szCs w:val="18"/>
        </w:rPr>
        <w:t>Smluvní strany se dohodly, že písemnosti doručované v souvislosti s plněním Smlouvy se považují za doručené nejpozději desátým dnem po jejich uložení na poště, respektive po doručení do datové schránky v případě doručování písemností datovou schránkou.</w:t>
      </w:r>
    </w:p>
    <w:p w14:paraId="7E01F5C2" w14:textId="77777777" w:rsidR="00D53920" w:rsidRPr="00547FAB" w:rsidRDefault="00D53920" w:rsidP="00D53920">
      <w:pPr>
        <w:pStyle w:val="Zkladntext"/>
        <w:numPr>
          <w:ilvl w:val="0"/>
          <w:numId w:val="13"/>
        </w:numPr>
        <w:rPr>
          <w:rFonts w:ascii="Arial Narrow" w:hAnsi="Arial Narrow" w:cs="Arial"/>
          <w:sz w:val="18"/>
          <w:szCs w:val="18"/>
        </w:rPr>
      </w:pPr>
      <w:r w:rsidRPr="00547FAB">
        <w:rPr>
          <w:rFonts w:ascii="Arial Narrow" w:hAnsi="Arial Narrow" w:cs="Arial"/>
          <w:sz w:val="18"/>
          <w:szCs w:val="18"/>
        </w:rPr>
        <w:t xml:space="preserve">Případné nesrovnalosti vyplývající ze smluvního vztahu budou řešeny vzájemným jednáním. </w:t>
      </w:r>
    </w:p>
    <w:p w14:paraId="7E01F5C3" w14:textId="77777777" w:rsidR="00D53920" w:rsidRPr="00547FAB" w:rsidRDefault="00D53920" w:rsidP="00D53920">
      <w:pPr>
        <w:pStyle w:val="Zkladntext"/>
        <w:numPr>
          <w:ilvl w:val="0"/>
          <w:numId w:val="13"/>
        </w:numPr>
        <w:rPr>
          <w:rFonts w:ascii="Arial Narrow" w:hAnsi="Arial Narrow" w:cs="Arial"/>
          <w:b/>
          <w:sz w:val="18"/>
          <w:szCs w:val="18"/>
        </w:rPr>
      </w:pPr>
      <w:r w:rsidRPr="00547FAB">
        <w:rPr>
          <w:rFonts w:ascii="Arial Narrow" w:hAnsi="Arial Narrow" w:cs="Arial"/>
          <w:sz w:val="18"/>
          <w:szCs w:val="18"/>
        </w:rPr>
        <w:t>Smluvní strany stvrzují, že Dodatek byl uzavřen podle jejich svobodné vůle a že s jeho obsahem souhlasí.</w:t>
      </w:r>
    </w:p>
    <w:p w14:paraId="7E01F5C4" w14:textId="77777777" w:rsidR="00D53920" w:rsidRPr="00547FAB" w:rsidRDefault="00D53920" w:rsidP="00D53920">
      <w:pPr>
        <w:pStyle w:val="Zkladntext"/>
        <w:numPr>
          <w:ilvl w:val="0"/>
          <w:numId w:val="13"/>
        </w:numPr>
        <w:rPr>
          <w:rFonts w:ascii="Arial Narrow" w:hAnsi="Arial Narrow" w:cs="Arial"/>
          <w:b/>
          <w:sz w:val="18"/>
          <w:szCs w:val="18"/>
        </w:rPr>
      </w:pPr>
      <w:r w:rsidRPr="00547FAB">
        <w:rPr>
          <w:rFonts w:ascii="Arial Narrow" w:hAnsi="Arial Narrow" w:cs="Arial"/>
          <w:sz w:val="18"/>
          <w:szCs w:val="18"/>
        </w:rPr>
        <w:t>Za Zdravotní pojišťovnu jsou k podpisu tohoto Dodatku oprávněny osoby, které zmocnil k podpisu statutární zástupce.</w:t>
      </w:r>
    </w:p>
    <w:p w14:paraId="7E01F5C5" w14:textId="078AF667" w:rsidR="00D53920" w:rsidRPr="00547FAB" w:rsidRDefault="00D53920" w:rsidP="00D53920">
      <w:pPr>
        <w:pStyle w:val="Zkladntext"/>
        <w:widowControl w:val="0"/>
        <w:numPr>
          <w:ilvl w:val="0"/>
          <w:numId w:val="13"/>
        </w:numPr>
        <w:suppressAutoHyphens/>
        <w:rPr>
          <w:rFonts w:ascii="Arial Narrow" w:hAnsi="Arial Narrow"/>
          <w:sz w:val="18"/>
          <w:szCs w:val="18"/>
        </w:rPr>
      </w:pPr>
      <w:r w:rsidRPr="00547FAB">
        <w:rPr>
          <w:rFonts w:ascii="Arial Narrow" w:hAnsi="Arial Narrow" w:cs="Arial"/>
          <w:sz w:val="18"/>
          <w:szCs w:val="18"/>
        </w:rPr>
        <w:t>Dodatek je vyhotoven ve dvou stejnopisech, z nichž každá ze smluvních stran obdrží po jednom vyhotovení v případě, že nebude Dodatek uzavřen cestou datových schránek způsobem uvedeným v článku III. odst. 7</w:t>
      </w:r>
      <w:r w:rsidR="00C9271B" w:rsidRPr="00547FAB">
        <w:rPr>
          <w:rFonts w:ascii="Arial Narrow" w:hAnsi="Arial Narrow" w:cs="Arial"/>
          <w:sz w:val="18"/>
          <w:szCs w:val="18"/>
        </w:rPr>
        <w:t>.</w:t>
      </w:r>
      <w:r w:rsidRPr="00547FAB">
        <w:rPr>
          <w:rFonts w:ascii="Arial Narrow" w:hAnsi="Arial Narrow" w:cs="Arial"/>
          <w:sz w:val="18"/>
          <w:szCs w:val="18"/>
        </w:rPr>
        <w:t xml:space="preserve"> tohoto Dodatku.</w:t>
      </w:r>
    </w:p>
    <w:p w14:paraId="6E04DE6F" w14:textId="77777777" w:rsidR="00C5068D" w:rsidRPr="00547FAB" w:rsidRDefault="00C5068D" w:rsidP="00DA6259">
      <w:pPr>
        <w:pStyle w:val="Zkladntext"/>
        <w:spacing w:before="57"/>
        <w:jc w:val="center"/>
        <w:rPr>
          <w:rFonts w:ascii="Arial" w:hAnsi="Arial"/>
          <w:b/>
          <w:bCs/>
          <w:sz w:val="18"/>
          <w:szCs w:val="18"/>
        </w:rPr>
      </w:pPr>
    </w:p>
    <w:p w14:paraId="7447E722" w14:textId="77777777" w:rsidR="00C5068D" w:rsidRPr="00547FAB" w:rsidRDefault="00C5068D" w:rsidP="00DA6259">
      <w:pPr>
        <w:pStyle w:val="Zkladntext"/>
        <w:spacing w:before="57"/>
        <w:jc w:val="center"/>
        <w:rPr>
          <w:rFonts w:ascii="Arial" w:hAnsi="Arial"/>
          <w:b/>
          <w:bCs/>
          <w:sz w:val="18"/>
          <w:szCs w:val="18"/>
        </w:rPr>
      </w:pPr>
    </w:p>
    <w:p w14:paraId="5889AFAF" w14:textId="77777777" w:rsidR="00C5068D" w:rsidRPr="00547FAB" w:rsidRDefault="00C5068D" w:rsidP="00DA6259">
      <w:pPr>
        <w:pStyle w:val="Zkladntext"/>
        <w:spacing w:before="57"/>
        <w:jc w:val="center"/>
        <w:rPr>
          <w:rFonts w:ascii="Arial" w:hAnsi="Arial"/>
          <w:b/>
          <w:bCs/>
          <w:sz w:val="18"/>
          <w:szCs w:val="18"/>
        </w:rPr>
      </w:pPr>
    </w:p>
    <w:p w14:paraId="7E01F5E9" w14:textId="1CB43A96" w:rsidR="007E3C59" w:rsidRPr="00547FAB" w:rsidRDefault="007E3C59" w:rsidP="00F25AAF">
      <w:pPr>
        <w:pStyle w:val="Zkladntext"/>
        <w:jc w:val="left"/>
        <w:rPr>
          <w:rFonts w:ascii="Arial" w:hAnsi="Arial"/>
          <w:sz w:val="18"/>
          <w:szCs w:val="18"/>
        </w:rPr>
      </w:pPr>
    </w:p>
    <w:p w14:paraId="49385D44" w14:textId="77777777" w:rsidR="00DA6259" w:rsidRPr="00547FAB" w:rsidRDefault="00DA6259" w:rsidP="00F25AAF">
      <w:pPr>
        <w:pStyle w:val="Zkladntext"/>
        <w:jc w:val="left"/>
        <w:rPr>
          <w:rFonts w:ascii="Arial" w:hAnsi="Arial"/>
          <w:sz w:val="18"/>
          <w:szCs w:val="18"/>
        </w:rPr>
      </w:pPr>
    </w:p>
    <w:tbl>
      <w:tblPr>
        <w:tblW w:w="10724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3"/>
        <w:gridCol w:w="561"/>
        <w:gridCol w:w="1182"/>
        <w:gridCol w:w="1545"/>
        <w:gridCol w:w="364"/>
        <w:gridCol w:w="2515"/>
        <w:gridCol w:w="561"/>
        <w:gridCol w:w="1163"/>
      </w:tblGrid>
      <w:tr w:rsidR="00D53920" w:rsidRPr="00547FAB" w14:paraId="7E01F5F3" w14:textId="77777777" w:rsidTr="00AB08FF">
        <w:trPr>
          <w:cantSplit/>
          <w:trHeight w:hRule="exact" w:val="554"/>
        </w:trPr>
        <w:tc>
          <w:tcPr>
            <w:tcW w:w="2833" w:type="dxa"/>
            <w:shd w:val="clear" w:color="auto" w:fill="auto"/>
          </w:tcPr>
          <w:p w14:paraId="7E01F5EA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547FAB">
              <w:rPr>
                <w:rFonts w:ascii="Arial" w:hAnsi="Arial"/>
                <w:sz w:val="18"/>
                <w:szCs w:val="18"/>
                <w:highlight w:val="cyan"/>
              </w:rPr>
              <w:t>If</w:t>
            </w:r>
            <w:proofErr w:type="spellEnd"/>
            <w:r w:rsidRPr="00547FAB">
              <w:rPr>
                <w:rFonts w:ascii="Arial" w:hAnsi="Arial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547FAB">
              <w:rPr>
                <w:rFonts w:ascii="Arial" w:hAnsi="Arial"/>
                <w:sz w:val="18"/>
                <w:szCs w:val="18"/>
                <w:highlight w:val="cyan"/>
              </w:rPr>
              <w:t>usekzz</w:t>
            </w:r>
            <w:proofErr w:type="spellEnd"/>
            <w:r w:rsidRPr="00547FAB">
              <w:rPr>
                <w:rFonts w:ascii="Arial" w:hAnsi="Arial"/>
                <w:sz w:val="18"/>
                <w:szCs w:val="18"/>
                <w:highlight w:val="cyan"/>
              </w:rPr>
              <w:t xml:space="preserve"> = 3</w:t>
            </w:r>
            <w:r w:rsidRPr="00547FAB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547FAB">
              <w:rPr>
                <w:rFonts w:ascii="Arial" w:hAnsi="Arial"/>
                <w:sz w:val="18"/>
                <w:szCs w:val="18"/>
              </w:rPr>
              <w:t>then</w:t>
            </w:r>
            <w:proofErr w:type="spellEnd"/>
            <w:r w:rsidRPr="00547FAB">
              <w:rPr>
                <w:rFonts w:ascii="Arial" w:hAnsi="Arial"/>
                <w:sz w:val="18"/>
                <w:szCs w:val="18"/>
              </w:rPr>
              <w:t xml:space="preserve"> V Ostravě</w:t>
            </w:r>
          </w:p>
          <w:p w14:paraId="7E01F5EB" w14:textId="77777777" w:rsidR="00D53920" w:rsidRPr="00547FAB" w:rsidRDefault="00D53920" w:rsidP="00AB08FF">
            <w:pPr>
              <w:pStyle w:val="TableContents"/>
              <w:rPr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 xml:space="preserve">   </w:t>
            </w:r>
            <w:r w:rsidRPr="00547FAB">
              <w:rPr>
                <w:rFonts w:ascii="Arial" w:hAnsi="Arial"/>
                <w:sz w:val="18"/>
                <w:szCs w:val="18"/>
                <w:highlight w:val="cyan"/>
              </w:rPr>
              <w:t>Else</w:t>
            </w:r>
            <w:r w:rsidRPr="00547FAB">
              <w:rPr>
                <w:rFonts w:ascii="Arial" w:hAnsi="Arial"/>
                <w:sz w:val="18"/>
                <w:szCs w:val="18"/>
              </w:rPr>
              <w:t xml:space="preserve"> V Praze</w:t>
            </w:r>
          </w:p>
        </w:tc>
        <w:tc>
          <w:tcPr>
            <w:tcW w:w="561" w:type="dxa"/>
            <w:shd w:val="clear" w:color="auto" w:fill="auto"/>
          </w:tcPr>
          <w:p w14:paraId="7E01F5EC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dne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F5ED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5EE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shd w:val="clear" w:color="auto" w:fill="auto"/>
          </w:tcPr>
          <w:p w14:paraId="7E01F5EF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251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F5F0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5F1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dne</w:t>
            </w:r>
          </w:p>
        </w:tc>
        <w:tc>
          <w:tcPr>
            <w:tcW w:w="116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5F2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D53920" w:rsidRPr="00547FAB" w14:paraId="7E01F607" w14:textId="77777777" w:rsidTr="00AB08FF">
        <w:trPr>
          <w:cantSplit/>
          <w:trHeight w:hRule="exact" w:val="567"/>
        </w:trPr>
        <w:tc>
          <w:tcPr>
            <w:tcW w:w="2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5F4" w14:textId="77777777" w:rsidR="00D53920" w:rsidRPr="00547FAB" w:rsidRDefault="00D53920" w:rsidP="00AB08FF">
            <w:pPr>
              <w:pStyle w:val="TableContents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E01F5F5" w14:textId="77777777" w:rsidR="00D53920" w:rsidRPr="00547FAB" w:rsidRDefault="00D53920" w:rsidP="00AB08FF">
            <w:pPr>
              <w:pStyle w:val="TableContents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E01F5F6" w14:textId="77777777" w:rsidR="00D53920" w:rsidRPr="00547FAB" w:rsidRDefault="00D53920" w:rsidP="00AB08FF">
            <w:pPr>
              <w:pStyle w:val="TableContents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E01F5F7" w14:textId="77777777" w:rsidR="00D53920" w:rsidRPr="00547FAB" w:rsidRDefault="00D53920" w:rsidP="00AB08FF">
            <w:pPr>
              <w:pStyle w:val="TableContents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E01F5F8" w14:textId="77777777" w:rsidR="00D53920" w:rsidRPr="00547FAB" w:rsidRDefault="00D53920" w:rsidP="00AB08FF">
            <w:pPr>
              <w:pStyle w:val="TableContents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E01F5F9" w14:textId="77777777" w:rsidR="00D53920" w:rsidRPr="00547FAB" w:rsidRDefault="00D53920" w:rsidP="00AB08FF">
            <w:pPr>
              <w:pStyle w:val="TableContents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5FA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7E01F5FB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7E01F5FC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7E01F5FD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7E01F5FE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7E01F5FF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7E01F600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7E01F601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7E01F602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603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604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605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606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D53920" w:rsidRPr="00547FAB" w14:paraId="7E01F60E" w14:textId="77777777" w:rsidTr="00AB08FF">
        <w:trPr>
          <w:cantSplit/>
          <w:trHeight w:hRule="exact" w:val="567"/>
        </w:trPr>
        <w:tc>
          <w:tcPr>
            <w:tcW w:w="2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608" w14:textId="77777777" w:rsidR="00D53920" w:rsidRPr="00547FAB" w:rsidRDefault="00D53920" w:rsidP="00AB08FF">
            <w:pPr>
              <w:pStyle w:val="TableContents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609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60A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60B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60C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60D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D53920" w:rsidRPr="00547FAB" w14:paraId="7E01F612" w14:textId="77777777" w:rsidTr="00AB08FF">
        <w:trPr>
          <w:cantSplit/>
          <w:trHeight w:hRule="exact" w:val="401"/>
        </w:trPr>
        <w:tc>
          <w:tcPr>
            <w:tcW w:w="4576" w:type="dxa"/>
            <w:gridSpan w:val="3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F60F" w14:textId="77777777" w:rsidR="00D53920" w:rsidRPr="00547FAB" w:rsidRDefault="00D53920" w:rsidP="00AB08F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za Zdravotní pojišťovnu</w:t>
            </w:r>
          </w:p>
        </w:tc>
        <w:tc>
          <w:tcPr>
            <w:tcW w:w="1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610" w14:textId="77777777" w:rsidR="00D53920" w:rsidRPr="00547FAB" w:rsidRDefault="00D53920" w:rsidP="00AB08F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603" w:type="dxa"/>
            <w:gridSpan w:val="4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F611" w14:textId="77777777" w:rsidR="00D53920" w:rsidRPr="00547FAB" w:rsidRDefault="00D53920" w:rsidP="00AB08F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547FAB">
              <w:rPr>
                <w:rFonts w:ascii="Arial" w:hAnsi="Arial"/>
                <w:sz w:val="18"/>
                <w:szCs w:val="18"/>
              </w:rPr>
              <w:t>za Poskytovatele</w:t>
            </w:r>
          </w:p>
        </w:tc>
      </w:tr>
    </w:tbl>
    <w:p w14:paraId="7E01F613" w14:textId="77777777" w:rsidR="00F25AAF" w:rsidRPr="00DC10CB" w:rsidRDefault="00F25AAF" w:rsidP="00D94F67">
      <w:pPr>
        <w:rPr>
          <w:rFonts w:ascii="Arial" w:hAnsi="Arial"/>
          <w:b/>
        </w:rPr>
      </w:pPr>
    </w:p>
    <w:sectPr w:rsidR="00F25AAF" w:rsidRPr="00DC10CB" w:rsidSect="00BE07F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/>
        <w:b w:val="0"/>
        <w:bCs w:val="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 w:val="0"/>
        <w:bCs w:val="0"/>
        <w:sz w:val="14"/>
        <w:szCs w:val="1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 w:val="0"/>
        <w:b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b w:val="0"/>
        <w:bCs w:val="0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b w:val="0"/>
        <w:bCs w:val="0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b w:val="0"/>
        <w:bCs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b w:val="0"/>
        <w:bCs w:val="0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b w:val="0"/>
        <w:bCs w:val="0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b w:val="0"/>
        <w:bCs w:val="0"/>
        <w:sz w:val="14"/>
        <w:szCs w:val="1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/>
        <w:b w:val="0"/>
        <w:bCs w:val="0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964" w:hanging="681"/>
      </w:pPr>
      <w:rPr>
        <w:rFonts w:ascii="Arial Narrow" w:hAnsi="Arial Narrow"/>
        <w:b w:val="0"/>
        <w:bCs w:val="0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553"/>
        </w:tabs>
        <w:ind w:left="1582" w:hanging="442"/>
      </w:pPr>
      <w:rPr>
        <w:rFonts w:ascii="Arial Narrow" w:hAnsi="Arial Narrow"/>
        <w:b w:val="0"/>
        <w:b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b w:val="0"/>
        <w:bCs w:val="0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b w:val="0"/>
        <w:bCs w:val="0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b w:val="0"/>
        <w:bCs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b w:val="0"/>
        <w:bCs w:val="0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b w:val="0"/>
        <w:bCs w:val="0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b w:val="0"/>
        <w:bCs w:val="0"/>
        <w:sz w:val="14"/>
        <w:szCs w:val="14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/>
        <w:b w:val="0"/>
        <w:bCs w:val="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 w:val="0"/>
        <w:bCs w:val="0"/>
        <w:sz w:val="14"/>
        <w:szCs w:val="1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 w:val="0"/>
        <w:b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b w:val="0"/>
        <w:bCs w:val="0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b w:val="0"/>
        <w:bCs w:val="0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b w:val="0"/>
        <w:bCs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b w:val="0"/>
        <w:bCs w:val="0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b w:val="0"/>
        <w:bCs w:val="0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b w:val="0"/>
        <w:bCs w:val="0"/>
        <w:sz w:val="14"/>
        <w:szCs w:val="14"/>
      </w:rPr>
    </w:lvl>
  </w:abstractNum>
  <w:abstractNum w:abstractNumId="3" w15:restartNumberingAfterBreak="0">
    <w:nsid w:val="04DC16CD"/>
    <w:multiLevelType w:val="hybridMultilevel"/>
    <w:tmpl w:val="D9BCA2B4"/>
    <w:lvl w:ilvl="0" w:tplc="62B41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952BD"/>
    <w:multiLevelType w:val="hybridMultilevel"/>
    <w:tmpl w:val="E37A6DA4"/>
    <w:lvl w:ilvl="0" w:tplc="B06EEE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A90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69AA12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7AAED34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6"/>
        <w:szCs w:val="16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C671C8"/>
    <w:multiLevelType w:val="multilevel"/>
    <w:tmpl w:val="B4C47202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bCs w:val="0"/>
        <w:sz w:val="14"/>
        <w:szCs w:val="14"/>
      </w:rPr>
    </w:lvl>
    <w:lvl w:ilvl="1">
      <w:start w:val="7"/>
      <w:numFmt w:val="decimal"/>
      <w:lvlText w:val="%1.%2."/>
      <w:lvlJc w:val="left"/>
      <w:pPr>
        <w:tabs>
          <w:tab w:val="num" w:pos="283"/>
        </w:tabs>
        <w:ind w:left="964" w:hanging="681"/>
      </w:pPr>
      <w:rPr>
        <w:rFonts w:ascii="Arial Narrow" w:hAnsi="Arial Narrow" w:hint="default"/>
        <w:b w:val="0"/>
        <w:bCs w:val="0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553"/>
        </w:tabs>
        <w:ind w:left="1582" w:hanging="442"/>
      </w:pPr>
      <w:rPr>
        <w:rFonts w:ascii="Arial Narrow" w:hAnsi="Arial Narrow" w:hint="default"/>
        <w:b w:val="0"/>
        <w:b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  <w:b w:val="0"/>
        <w:bCs w:val="0"/>
        <w:sz w:val="14"/>
        <w:szCs w:val="14"/>
      </w:rPr>
    </w:lvl>
  </w:abstractNum>
  <w:abstractNum w:abstractNumId="6" w15:restartNumberingAfterBreak="0">
    <w:nsid w:val="0EEC2A90"/>
    <w:multiLevelType w:val="hybridMultilevel"/>
    <w:tmpl w:val="B1B86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52820"/>
    <w:multiLevelType w:val="hybridMultilevel"/>
    <w:tmpl w:val="22628EF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E00AB"/>
    <w:multiLevelType w:val="multilevel"/>
    <w:tmpl w:val="0BAAD9F4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bCs w:val="0"/>
        <w:sz w:val="14"/>
        <w:szCs w:val="14"/>
      </w:rPr>
    </w:lvl>
    <w:lvl w:ilvl="1">
      <w:start w:val="9"/>
      <w:numFmt w:val="decimal"/>
      <w:lvlText w:val="%1.%2."/>
      <w:lvlJc w:val="left"/>
      <w:pPr>
        <w:tabs>
          <w:tab w:val="num" w:pos="283"/>
        </w:tabs>
        <w:ind w:left="964" w:hanging="681"/>
      </w:pPr>
      <w:rPr>
        <w:rFonts w:ascii="Arial Narrow" w:hAnsi="Arial Narrow" w:hint="default"/>
        <w:b w:val="0"/>
        <w:bCs w:val="0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553"/>
        </w:tabs>
        <w:ind w:left="1582" w:hanging="442"/>
      </w:pPr>
      <w:rPr>
        <w:rFonts w:ascii="Arial Narrow" w:hAnsi="Arial Narrow" w:hint="default"/>
        <w:b w:val="0"/>
        <w:b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  <w:b w:val="0"/>
        <w:bCs w:val="0"/>
        <w:sz w:val="14"/>
        <w:szCs w:val="14"/>
      </w:rPr>
    </w:lvl>
  </w:abstractNum>
  <w:abstractNum w:abstractNumId="9" w15:restartNumberingAfterBreak="0">
    <w:nsid w:val="3A4B7F97"/>
    <w:multiLevelType w:val="hybridMultilevel"/>
    <w:tmpl w:val="11B6E814"/>
    <w:lvl w:ilvl="0" w:tplc="E17A9B80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D6E6018"/>
    <w:multiLevelType w:val="multilevel"/>
    <w:tmpl w:val="57582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4E111A8F"/>
    <w:multiLevelType w:val="multilevel"/>
    <w:tmpl w:val="3202D4C6"/>
    <w:lvl w:ilvl="0">
      <w:start w:val="1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bCs w:val="0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964" w:hanging="681"/>
      </w:pPr>
      <w:rPr>
        <w:rFonts w:ascii="Arial Narrow" w:hAnsi="Arial Narrow" w:hint="default"/>
        <w:b w:val="0"/>
        <w:bCs w:val="0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553"/>
        </w:tabs>
        <w:ind w:left="1582" w:hanging="442"/>
      </w:pPr>
      <w:rPr>
        <w:rFonts w:ascii="Arial Narrow" w:hAnsi="Arial Narrow" w:hint="default"/>
        <w:b w:val="0"/>
        <w:b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  <w:b w:val="0"/>
        <w:bCs w:val="0"/>
        <w:sz w:val="14"/>
        <w:szCs w:val="14"/>
      </w:rPr>
    </w:lvl>
  </w:abstractNum>
  <w:abstractNum w:abstractNumId="1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71146A86"/>
    <w:multiLevelType w:val="multilevel"/>
    <w:tmpl w:val="D76A8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8C022BE"/>
    <w:multiLevelType w:val="multilevel"/>
    <w:tmpl w:val="D5A499F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bCs w:val="0"/>
        <w:sz w:val="14"/>
        <w:szCs w:val="14"/>
      </w:rPr>
    </w:lvl>
    <w:lvl w:ilvl="1">
      <w:start w:val="10"/>
      <w:numFmt w:val="decimal"/>
      <w:lvlText w:val="%1.%2."/>
      <w:lvlJc w:val="left"/>
      <w:pPr>
        <w:tabs>
          <w:tab w:val="num" w:pos="283"/>
        </w:tabs>
        <w:ind w:left="964" w:hanging="681"/>
      </w:pPr>
      <w:rPr>
        <w:rFonts w:ascii="Arial Narrow" w:hAnsi="Arial Narrow" w:hint="default"/>
        <w:b w:val="0"/>
        <w:bCs w:val="0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553"/>
        </w:tabs>
        <w:ind w:left="1582" w:hanging="442"/>
      </w:pPr>
      <w:rPr>
        <w:rFonts w:ascii="Arial Narrow" w:hAnsi="Arial Narrow" w:hint="default"/>
        <w:b w:val="0"/>
        <w:b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  <w:b w:val="0"/>
        <w:bCs w:val="0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  <w:b w:val="0"/>
        <w:bCs w:val="0"/>
        <w:sz w:val="14"/>
        <w:szCs w:val="14"/>
      </w:rPr>
    </w:lvl>
  </w:abstractNum>
  <w:abstractNum w:abstractNumId="15" w15:restartNumberingAfterBreak="0">
    <w:nsid w:val="7DE345B6"/>
    <w:multiLevelType w:val="hybridMultilevel"/>
    <w:tmpl w:val="5AD4DD7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222691"/>
    <w:multiLevelType w:val="hybridMultilevel"/>
    <w:tmpl w:val="A7F4BD42"/>
    <w:lvl w:ilvl="0" w:tplc="FFFFFFFF">
      <w:start w:val="1"/>
      <w:numFmt w:val="decimal"/>
      <w:pStyle w:val="slovanodstavec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  <w:num w:numId="15">
    <w:abstractNumId w:val="5"/>
  </w:num>
  <w:num w:numId="16">
    <w:abstractNumId w:val="1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5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A8"/>
    <w:rsid w:val="00003FA3"/>
    <w:rsid w:val="000113B1"/>
    <w:rsid w:val="000257DD"/>
    <w:rsid w:val="00025E20"/>
    <w:rsid w:val="000450E2"/>
    <w:rsid w:val="000459AD"/>
    <w:rsid w:val="0005139E"/>
    <w:rsid w:val="00063035"/>
    <w:rsid w:val="00064730"/>
    <w:rsid w:val="00065889"/>
    <w:rsid w:val="00072DB9"/>
    <w:rsid w:val="000752F1"/>
    <w:rsid w:val="00075A7B"/>
    <w:rsid w:val="0007601C"/>
    <w:rsid w:val="00083026"/>
    <w:rsid w:val="000909A0"/>
    <w:rsid w:val="00093FA4"/>
    <w:rsid w:val="000A04FC"/>
    <w:rsid w:val="000A60FC"/>
    <w:rsid w:val="000A65F3"/>
    <w:rsid w:val="000B2812"/>
    <w:rsid w:val="000B794E"/>
    <w:rsid w:val="000C181D"/>
    <w:rsid w:val="000D7A63"/>
    <w:rsid w:val="000E09B9"/>
    <w:rsid w:val="000F50AA"/>
    <w:rsid w:val="001014AF"/>
    <w:rsid w:val="0010277B"/>
    <w:rsid w:val="00107055"/>
    <w:rsid w:val="00113B7F"/>
    <w:rsid w:val="001143CB"/>
    <w:rsid w:val="0012754C"/>
    <w:rsid w:val="00130E7B"/>
    <w:rsid w:val="00134193"/>
    <w:rsid w:val="00136EE5"/>
    <w:rsid w:val="00141043"/>
    <w:rsid w:val="00142E09"/>
    <w:rsid w:val="001514F0"/>
    <w:rsid w:val="0015761D"/>
    <w:rsid w:val="00170EDA"/>
    <w:rsid w:val="00172A70"/>
    <w:rsid w:val="001764A1"/>
    <w:rsid w:val="0018239F"/>
    <w:rsid w:val="001833DB"/>
    <w:rsid w:val="00184EE9"/>
    <w:rsid w:val="00185FED"/>
    <w:rsid w:val="00192C27"/>
    <w:rsid w:val="00193CB9"/>
    <w:rsid w:val="00197458"/>
    <w:rsid w:val="001A0F92"/>
    <w:rsid w:val="001A16DC"/>
    <w:rsid w:val="001A1A5C"/>
    <w:rsid w:val="001A26CE"/>
    <w:rsid w:val="001B0B4F"/>
    <w:rsid w:val="001B72E5"/>
    <w:rsid w:val="001D4505"/>
    <w:rsid w:val="001D5486"/>
    <w:rsid w:val="001E0924"/>
    <w:rsid w:val="001E427D"/>
    <w:rsid w:val="001E5064"/>
    <w:rsid w:val="001F037E"/>
    <w:rsid w:val="00201CF6"/>
    <w:rsid w:val="00203962"/>
    <w:rsid w:val="00204ED4"/>
    <w:rsid w:val="00206539"/>
    <w:rsid w:val="00211B7C"/>
    <w:rsid w:val="002219CC"/>
    <w:rsid w:val="00225E49"/>
    <w:rsid w:val="002477DB"/>
    <w:rsid w:val="0025334F"/>
    <w:rsid w:val="002538DC"/>
    <w:rsid w:val="002756F5"/>
    <w:rsid w:val="00275912"/>
    <w:rsid w:val="00291881"/>
    <w:rsid w:val="002B2C56"/>
    <w:rsid w:val="002B6598"/>
    <w:rsid w:val="002C1742"/>
    <w:rsid w:val="002C2CE5"/>
    <w:rsid w:val="002C46F5"/>
    <w:rsid w:val="002E1AA8"/>
    <w:rsid w:val="002E3207"/>
    <w:rsid w:val="002E7EC5"/>
    <w:rsid w:val="00304FBF"/>
    <w:rsid w:val="003138C2"/>
    <w:rsid w:val="003169C3"/>
    <w:rsid w:val="0032420A"/>
    <w:rsid w:val="00327C0A"/>
    <w:rsid w:val="00334689"/>
    <w:rsid w:val="00337150"/>
    <w:rsid w:val="0034151C"/>
    <w:rsid w:val="00347A70"/>
    <w:rsid w:val="00357216"/>
    <w:rsid w:val="00370757"/>
    <w:rsid w:val="00374ED3"/>
    <w:rsid w:val="003928CB"/>
    <w:rsid w:val="003A3231"/>
    <w:rsid w:val="003A4085"/>
    <w:rsid w:val="003B3847"/>
    <w:rsid w:val="003B5AD8"/>
    <w:rsid w:val="003C2C9D"/>
    <w:rsid w:val="003C4B57"/>
    <w:rsid w:val="003E3D6C"/>
    <w:rsid w:val="003E50B2"/>
    <w:rsid w:val="003F08A2"/>
    <w:rsid w:val="003F306C"/>
    <w:rsid w:val="003F562E"/>
    <w:rsid w:val="003F692D"/>
    <w:rsid w:val="004173DA"/>
    <w:rsid w:val="00426E21"/>
    <w:rsid w:val="0043064C"/>
    <w:rsid w:val="00437FFD"/>
    <w:rsid w:val="00440ED1"/>
    <w:rsid w:val="00443B5D"/>
    <w:rsid w:val="004450DA"/>
    <w:rsid w:val="0044603C"/>
    <w:rsid w:val="00453A3F"/>
    <w:rsid w:val="00462555"/>
    <w:rsid w:val="004628D0"/>
    <w:rsid w:val="00466541"/>
    <w:rsid w:val="00477402"/>
    <w:rsid w:val="00483CB2"/>
    <w:rsid w:val="004849CC"/>
    <w:rsid w:val="00486EC7"/>
    <w:rsid w:val="00492443"/>
    <w:rsid w:val="00495DA5"/>
    <w:rsid w:val="004961B4"/>
    <w:rsid w:val="004962E7"/>
    <w:rsid w:val="004A326E"/>
    <w:rsid w:val="004C1C95"/>
    <w:rsid w:val="004C4483"/>
    <w:rsid w:val="004E047A"/>
    <w:rsid w:val="004E047B"/>
    <w:rsid w:val="004E275D"/>
    <w:rsid w:val="004E3251"/>
    <w:rsid w:val="004F0AF3"/>
    <w:rsid w:val="004F66E7"/>
    <w:rsid w:val="005004F2"/>
    <w:rsid w:val="00501D8F"/>
    <w:rsid w:val="00503CC3"/>
    <w:rsid w:val="005051CC"/>
    <w:rsid w:val="00505A60"/>
    <w:rsid w:val="005157B8"/>
    <w:rsid w:val="005201C5"/>
    <w:rsid w:val="00533CAD"/>
    <w:rsid w:val="00533CC4"/>
    <w:rsid w:val="005373DC"/>
    <w:rsid w:val="00540182"/>
    <w:rsid w:val="00542913"/>
    <w:rsid w:val="00545592"/>
    <w:rsid w:val="00547FAB"/>
    <w:rsid w:val="00550F72"/>
    <w:rsid w:val="00551B55"/>
    <w:rsid w:val="005537A6"/>
    <w:rsid w:val="00556275"/>
    <w:rsid w:val="00562EFC"/>
    <w:rsid w:val="00563E52"/>
    <w:rsid w:val="0056447B"/>
    <w:rsid w:val="00565E3B"/>
    <w:rsid w:val="005729E7"/>
    <w:rsid w:val="005774E6"/>
    <w:rsid w:val="00580199"/>
    <w:rsid w:val="0058087A"/>
    <w:rsid w:val="00582B45"/>
    <w:rsid w:val="0058747D"/>
    <w:rsid w:val="00590701"/>
    <w:rsid w:val="0059075E"/>
    <w:rsid w:val="005924CC"/>
    <w:rsid w:val="005A4775"/>
    <w:rsid w:val="005A6707"/>
    <w:rsid w:val="005A7866"/>
    <w:rsid w:val="005B01DE"/>
    <w:rsid w:val="005C442C"/>
    <w:rsid w:val="005C5D9E"/>
    <w:rsid w:val="005C6B5C"/>
    <w:rsid w:val="005D26A4"/>
    <w:rsid w:val="005E07E5"/>
    <w:rsid w:val="005E09E1"/>
    <w:rsid w:val="005E7097"/>
    <w:rsid w:val="00601223"/>
    <w:rsid w:val="00606454"/>
    <w:rsid w:val="0060699B"/>
    <w:rsid w:val="00607A1B"/>
    <w:rsid w:val="00611562"/>
    <w:rsid w:val="00613872"/>
    <w:rsid w:val="00617164"/>
    <w:rsid w:val="006248AC"/>
    <w:rsid w:val="00627146"/>
    <w:rsid w:val="0063088D"/>
    <w:rsid w:val="00634C1F"/>
    <w:rsid w:val="00653500"/>
    <w:rsid w:val="006610F7"/>
    <w:rsid w:val="006628C3"/>
    <w:rsid w:val="006645CA"/>
    <w:rsid w:val="00675559"/>
    <w:rsid w:val="006779E3"/>
    <w:rsid w:val="006909F3"/>
    <w:rsid w:val="00694EEB"/>
    <w:rsid w:val="00696D69"/>
    <w:rsid w:val="006975FC"/>
    <w:rsid w:val="006A0503"/>
    <w:rsid w:val="006A183C"/>
    <w:rsid w:val="006A1EE1"/>
    <w:rsid w:val="006A4713"/>
    <w:rsid w:val="006B17CA"/>
    <w:rsid w:val="006B1E92"/>
    <w:rsid w:val="006B2998"/>
    <w:rsid w:val="006D00DC"/>
    <w:rsid w:val="006D17F0"/>
    <w:rsid w:val="006E1CBD"/>
    <w:rsid w:val="006E697E"/>
    <w:rsid w:val="006F2F82"/>
    <w:rsid w:val="0070000D"/>
    <w:rsid w:val="007025D1"/>
    <w:rsid w:val="00702830"/>
    <w:rsid w:val="00704B55"/>
    <w:rsid w:val="00706821"/>
    <w:rsid w:val="0070733B"/>
    <w:rsid w:val="007121B0"/>
    <w:rsid w:val="00714D0A"/>
    <w:rsid w:val="00715BE2"/>
    <w:rsid w:val="00721977"/>
    <w:rsid w:val="00736D74"/>
    <w:rsid w:val="007418EB"/>
    <w:rsid w:val="00742042"/>
    <w:rsid w:val="0075210A"/>
    <w:rsid w:val="007579E6"/>
    <w:rsid w:val="007610A5"/>
    <w:rsid w:val="00764AB8"/>
    <w:rsid w:val="007652EB"/>
    <w:rsid w:val="00781EBD"/>
    <w:rsid w:val="00784CBA"/>
    <w:rsid w:val="007853F8"/>
    <w:rsid w:val="00787770"/>
    <w:rsid w:val="00795249"/>
    <w:rsid w:val="00795C49"/>
    <w:rsid w:val="007A24D0"/>
    <w:rsid w:val="007B2A49"/>
    <w:rsid w:val="007B3C86"/>
    <w:rsid w:val="007D42D2"/>
    <w:rsid w:val="007E3C59"/>
    <w:rsid w:val="007E68AD"/>
    <w:rsid w:val="007F3E23"/>
    <w:rsid w:val="00804A24"/>
    <w:rsid w:val="00807274"/>
    <w:rsid w:val="008116E3"/>
    <w:rsid w:val="008136BD"/>
    <w:rsid w:val="00817E51"/>
    <w:rsid w:val="00823891"/>
    <w:rsid w:val="0082414A"/>
    <w:rsid w:val="00824494"/>
    <w:rsid w:val="00833A8D"/>
    <w:rsid w:val="00842247"/>
    <w:rsid w:val="008432BA"/>
    <w:rsid w:val="00843913"/>
    <w:rsid w:val="00860BB6"/>
    <w:rsid w:val="008722EF"/>
    <w:rsid w:val="0088313A"/>
    <w:rsid w:val="00885C55"/>
    <w:rsid w:val="00887CBD"/>
    <w:rsid w:val="00893699"/>
    <w:rsid w:val="008942DC"/>
    <w:rsid w:val="008A01BA"/>
    <w:rsid w:val="008A068D"/>
    <w:rsid w:val="008A4141"/>
    <w:rsid w:val="008A5152"/>
    <w:rsid w:val="008A78BF"/>
    <w:rsid w:val="008B2359"/>
    <w:rsid w:val="008B3A91"/>
    <w:rsid w:val="008B44C0"/>
    <w:rsid w:val="008C04D9"/>
    <w:rsid w:val="008C0B94"/>
    <w:rsid w:val="008C1D50"/>
    <w:rsid w:val="008D2A2E"/>
    <w:rsid w:val="008D47E0"/>
    <w:rsid w:val="008D6AFD"/>
    <w:rsid w:val="008D7F05"/>
    <w:rsid w:val="008E3729"/>
    <w:rsid w:val="008E5DD1"/>
    <w:rsid w:val="008E610F"/>
    <w:rsid w:val="008F48A0"/>
    <w:rsid w:val="008F5044"/>
    <w:rsid w:val="00900998"/>
    <w:rsid w:val="009011DA"/>
    <w:rsid w:val="00922E31"/>
    <w:rsid w:val="0094608F"/>
    <w:rsid w:val="00956197"/>
    <w:rsid w:val="00960A97"/>
    <w:rsid w:val="00963937"/>
    <w:rsid w:val="00966EB3"/>
    <w:rsid w:val="0096785C"/>
    <w:rsid w:val="00983B9E"/>
    <w:rsid w:val="009940F9"/>
    <w:rsid w:val="009A18EC"/>
    <w:rsid w:val="009A307E"/>
    <w:rsid w:val="009A71DB"/>
    <w:rsid w:val="009A7415"/>
    <w:rsid w:val="009A78C4"/>
    <w:rsid w:val="009C10B9"/>
    <w:rsid w:val="009C2F3E"/>
    <w:rsid w:val="009C42B9"/>
    <w:rsid w:val="009D0D52"/>
    <w:rsid w:val="009D3CB8"/>
    <w:rsid w:val="009D4C72"/>
    <w:rsid w:val="009F161C"/>
    <w:rsid w:val="00A044CD"/>
    <w:rsid w:val="00A0557B"/>
    <w:rsid w:val="00A06424"/>
    <w:rsid w:val="00A3316A"/>
    <w:rsid w:val="00A33463"/>
    <w:rsid w:val="00A34565"/>
    <w:rsid w:val="00A347FD"/>
    <w:rsid w:val="00A43331"/>
    <w:rsid w:val="00A468A7"/>
    <w:rsid w:val="00A50325"/>
    <w:rsid w:val="00A509C7"/>
    <w:rsid w:val="00A51AE1"/>
    <w:rsid w:val="00A707B0"/>
    <w:rsid w:val="00A81F06"/>
    <w:rsid w:val="00A8492F"/>
    <w:rsid w:val="00A84AC9"/>
    <w:rsid w:val="00AA1D9C"/>
    <w:rsid w:val="00AC0982"/>
    <w:rsid w:val="00AC43DD"/>
    <w:rsid w:val="00AC624C"/>
    <w:rsid w:val="00AC6810"/>
    <w:rsid w:val="00AD4508"/>
    <w:rsid w:val="00AE59BD"/>
    <w:rsid w:val="00B02A08"/>
    <w:rsid w:val="00B05803"/>
    <w:rsid w:val="00B06400"/>
    <w:rsid w:val="00B07E72"/>
    <w:rsid w:val="00B13A9E"/>
    <w:rsid w:val="00B2565B"/>
    <w:rsid w:val="00B26EC5"/>
    <w:rsid w:val="00B309C1"/>
    <w:rsid w:val="00B315DD"/>
    <w:rsid w:val="00B3769D"/>
    <w:rsid w:val="00B417E8"/>
    <w:rsid w:val="00B54F34"/>
    <w:rsid w:val="00B55391"/>
    <w:rsid w:val="00B62F12"/>
    <w:rsid w:val="00B75F22"/>
    <w:rsid w:val="00B76241"/>
    <w:rsid w:val="00B82412"/>
    <w:rsid w:val="00B90500"/>
    <w:rsid w:val="00BA04EC"/>
    <w:rsid w:val="00BB1784"/>
    <w:rsid w:val="00BC1A08"/>
    <w:rsid w:val="00BC5D63"/>
    <w:rsid w:val="00BC78F4"/>
    <w:rsid w:val="00BD69FC"/>
    <w:rsid w:val="00BE07F0"/>
    <w:rsid w:val="00BE3CCA"/>
    <w:rsid w:val="00BF1F2D"/>
    <w:rsid w:val="00BF2312"/>
    <w:rsid w:val="00BF3868"/>
    <w:rsid w:val="00C079A9"/>
    <w:rsid w:val="00C07AF0"/>
    <w:rsid w:val="00C14781"/>
    <w:rsid w:val="00C232EB"/>
    <w:rsid w:val="00C25442"/>
    <w:rsid w:val="00C25BBE"/>
    <w:rsid w:val="00C25BF8"/>
    <w:rsid w:val="00C26C38"/>
    <w:rsid w:val="00C30C1F"/>
    <w:rsid w:val="00C400D5"/>
    <w:rsid w:val="00C43116"/>
    <w:rsid w:val="00C4654D"/>
    <w:rsid w:val="00C5068D"/>
    <w:rsid w:val="00C625D2"/>
    <w:rsid w:val="00C65947"/>
    <w:rsid w:val="00C76657"/>
    <w:rsid w:val="00C76A5B"/>
    <w:rsid w:val="00C82C2A"/>
    <w:rsid w:val="00C87429"/>
    <w:rsid w:val="00C9271B"/>
    <w:rsid w:val="00CA3398"/>
    <w:rsid w:val="00CB4FE7"/>
    <w:rsid w:val="00CC1209"/>
    <w:rsid w:val="00CD14A4"/>
    <w:rsid w:val="00CE1C7E"/>
    <w:rsid w:val="00CE4ADC"/>
    <w:rsid w:val="00CF1452"/>
    <w:rsid w:val="00CF53DA"/>
    <w:rsid w:val="00D028B5"/>
    <w:rsid w:val="00D04A06"/>
    <w:rsid w:val="00D1099F"/>
    <w:rsid w:val="00D15344"/>
    <w:rsid w:val="00D210D6"/>
    <w:rsid w:val="00D21858"/>
    <w:rsid w:val="00D2681F"/>
    <w:rsid w:val="00D313BF"/>
    <w:rsid w:val="00D4390D"/>
    <w:rsid w:val="00D44587"/>
    <w:rsid w:val="00D53920"/>
    <w:rsid w:val="00D66497"/>
    <w:rsid w:val="00D73EAA"/>
    <w:rsid w:val="00D761BC"/>
    <w:rsid w:val="00D80D27"/>
    <w:rsid w:val="00D82CB5"/>
    <w:rsid w:val="00D83B8D"/>
    <w:rsid w:val="00D849E1"/>
    <w:rsid w:val="00D94F67"/>
    <w:rsid w:val="00D96559"/>
    <w:rsid w:val="00DA624B"/>
    <w:rsid w:val="00DA6259"/>
    <w:rsid w:val="00DB1A63"/>
    <w:rsid w:val="00DB2D99"/>
    <w:rsid w:val="00DB3C1F"/>
    <w:rsid w:val="00DB463E"/>
    <w:rsid w:val="00DB4B67"/>
    <w:rsid w:val="00DB7635"/>
    <w:rsid w:val="00DC10CB"/>
    <w:rsid w:val="00DC5E78"/>
    <w:rsid w:val="00DC6C9B"/>
    <w:rsid w:val="00DC7B20"/>
    <w:rsid w:val="00E0323F"/>
    <w:rsid w:val="00E03EAF"/>
    <w:rsid w:val="00E112A9"/>
    <w:rsid w:val="00E1233A"/>
    <w:rsid w:val="00E13970"/>
    <w:rsid w:val="00E3099D"/>
    <w:rsid w:val="00E42983"/>
    <w:rsid w:val="00E47B77"/>
    <w:rsid w:val="00E53AFA"/>
    <w:rsid w:val="00E55CFE"/>
    <w:rsid w:val="00E625CB"/>
    <w:rsid w:val="00E629A6"/>
    <w:rsid w:val="00E653D6"/>
    <w:rsid w:val="00E7259F"/>
    <w:rsid w:val="00E83FA1"/>
    <w:rsid w:val="00E858E2"/>
    <w:rsid w:val="00EA7D5F"/>
    <w:rsid w:val="00EB3AEF"/>
    <w:rsid w:val="00EB4EDE"/>
    <w:rsid w:val="00EB6896"/>
    <w:rsid w:val="00EC6005"/>
    <w:rsid w:val="00EC626E"/>
    <w:rsid w:val="00ED216A"/>
    <w:rsid w:val="00EF0BE9"/>
    <w:rsid w:val="00EF4716"/>
    <w:rsid w:val="00F06562"/>
    <w:rsid w:val="00F1062E"/>
    <w:rsid w:val="00F13CAC"/>
    <w:rsid w:val="00F25AAF"/>
    <w:rsid w:val="00F31025"/>
    <w:rsid w:val="00F46793"/>
    <w:rsid w:val="00F50F9B"/>
    <w:rsid w:val="00F60999"/>
    <w:rsid w:val="00F66F1F"/>
    <w:rsid w:val="00F832F0"/>
    <w:rsid w:val="00F97C61"/>
    <w:rsid w:val="00FA1629"/>
    <w:rsid w:val="00FA46DF"/>
    <w:rsid w:val="00FB3749"/>
    <w:rsid w:val="00FC09A7"/>
    <w:rsid w:val="00FD4DEB"/>
    <w:rsid w:val="00FD5FFE"/>
    <w:rsid w:val="00FE3581"/>
    <w:rsid w:val="00FF103C"/>
    <w:rsid w:val="00FF1906"/>
    <w:rsid w:val="00FF63DB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1F532"/>
  <w15:docId w15:val="{4364525A-BD5F-47C4-85D7-32A33EC4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AA8"/>
  </w:style>
  <w:style w:type="paragraph" w:styleId="Nadpis2">
    <w:name w:val="heading 2"/>
    <w:basedOn w:val="Normln"/>
    <w:next w:val="Normln"/>
    <w:qFormat/>
    <w:rsid w:val="002E1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E1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2E1AA8"/>
    <w:rPr>
      <w:color w:val="000000"/>
      <w:sz w:val="24"/>
    </w:rPr>
  </w:style>
  <w:style w:type="paragraph" w:styleId="Zkladntext">
    <w:name w:val="Body Text"/>
    <w:aliases w:val="Text_odstavce_čísl"/>
    <w:basedOn w:val="Normln"/>
    <w:link w:val="ZkladntextChar"/>
    <w:rsid w:val="002E1AA8"/>
    <w:pPr>
      <w:jc w:val="both"/>
    </w:pPr>
    <w:rPr>
      <w:color w:val="000000"/>
    </w:rPr>
  </w:style>
  <w:style w:type="paragraph" w:customStyle="1" w:styleId="BodyText21">
    <w:name w:val="Body Text 21"/>
    <w:basedOn w:val="Normln"/>
    <w:rsid w:val="002E1AA8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rsid w:val="002E1AA8"/>
    <w:pPr>
      <w:spacing w:before="60"/>
      <w:ind w:left="454"/>
      <w:jc w:val="both"/>
    </w:pPr>
    <w:rPr>
      <w:sz w:val="24"/>
    </w:rPr>
  </w:style>
  <w:style w:type="paragraph" w:customStyle="1" w:styleId="Textbodu">
    <w:name w:val="Text bodu"/>
    <w:basedOn w:val="Normln"/>
    <w:uiPriority w:val="99"/>
    <w:rsid w:val="002E1AA8"/>
    <w:pPr>
      <w:numPr>
        <w:ilvl w:val="2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2E1AA8"/>
    <w:pPr>
      <w:numPr>
        <w:ilvl w:val="1"/>
        <w:numId w:val="1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link w:val="TextodstavceChar"/>
    <w:uiPriority w:val="99"/>
    <w:rsid w:val="002E1AA8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Zkladntext31">
    <w:name w:val="Základní text 31"/>
    <w:basedOn w:val="Normln"/>
    <w:rsid w:val="002E1AA8"/>
    <w:pPr>
      <w:spacing w:before="120" w:after="120" w:line="240" w:lineRule="atLeast"/>
      <w:ind w:right="-483"/>
      <w:jc w:val="center"/>
    </w:pPr>
    <w:rPr>
      <w:b/>
      <w:sz w:val="32"/>
    </w:rPr>
  </w:style>
  <w:style w:type="character" w:customStyle="1" w:styleId="TextodstavceChar">
    <w:name w:val="Text odstavce Char"/>
    <w:basedOn w:val="Standardnpsmoodstavce"/>
    <w:link w:val="Textodstavce"/>
    <w:rsid w:val="002E1AA8"/>
    <w:rPr>
      <w:sz w:val="24"/>
      <w:lang w:val="cs-CZ" w:eastAsia="cs-CZ" w:bidi="ar-SA"/>
    </w:rPr>
  </w:style>
  <w:style w:type="table" w:styleId="Mkatabulky">
    <w:name w:val="Table Grid"/>
    <w:basedOn w:val="Normlntabulka"/>
    <w:rsid w:val="002E1A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141043"/>
    <w:pPr>
      <w:spacing w:after="120" w:line="480" w:lineRule="auto"/>
    </w:pPr>
  </w:style>
  <w:style w:type="paragraph" w:styleId="Textbubliny">
    <w:name w:val="Balloon Text"/>
    <w:basedOn w:val="Normln"/>
    <w:semiHidden/>
    <w:rsid w:val="00F4679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E69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9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97E"/>
    <w:rPr>
      <w:lang w:val="cs-CZ" w:eastAsia="cs-CZ" w:bidi="ar-SA"/>
    </w:rPr>
  </w:style>
  <w:style w:type="paragraph" w:customStyle="1" w:styleId="slovanodstavec">
    <w:name w:val="Číslovaný odstavec"/>
    <w:basedOn w:val="Normln"/>
    <w:next w:val="Normln"/>
    <w:rsid w:val="000A60FC"/>
    <w:pPr>
      <w:numPr>
        <w:numId w:val="5"/>
      </w:numPr>
      <w:spacing w:before="20"/>
      <w:jc w:val="both"/>
    </w:pPr>
    <w:rPr>
      <w:bCs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0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055"/>
    <w:rPr>
      <w:b/>
      <w:bCs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01CF6"/>
    <w:pPr>
      <w:ind w:left="720"/>
      <w:contextualSpacing/>
    </w:pPr>
  </w:style>
  <w:style w:type="character" w:customStyle="1" w:styleId="ZkladntextChar">
    <w:name w:val="Základní text Char"/>
    <w:aliases w:val="Text_odstavce_čísl Char"/>
    <w:basedOn w:val="Standardnpsmoodstavce"/>
    <w:link w:val="Zkladntext"/>
    <w:rsid w:val="00197458"/>
    <w:rPr>
      <w:color w:val="000000"/>
    </w:rPr>
  </w:style>
  <w:style w:type="paragraph" w:customStyle="1" w:styleId="Obsahtabulky">
    <w:name w:val="Obsah tabulky"/>
    <w:basedOn w:val="Normln"/>
    <w:rsid w:val="00F25AAF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ln"/>
    <w:rsid w:val="00D53920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C4980ABE0664BBB729655733205F0" ma:contentTypeVersion="7" ma:contentTypeDescription="Vytvoří nový dokument" ma:contentTypeScope="" ma:versionID="1ffd4d72b1ca4ac7e7bd14da821d9c9d">
  <xsd:schema xmlns:xsd="http://www.w3.org/2001/XMLSchema" xmlns:xs="http://www.w3.org/2001/XMLSchema" xmlns:p="http://schemas.microsoft.com/office/2006/metadata/properties" xmlns:ns2="5981ab57-7394-480c-8474-582c43675c91" targetNamespace="http://schemas.microsoft.com/office/2006/metadata/properties" ma:root="true" ma:fieldsID="77f3826174bd7dc306054b612e1204db" ns2:_="">
    <xsd:import namespace="5981ab57-7394-480c-8474-582c43675c91"/>
    <xsd:element name="properties">
      <xsd:complexType>
        <xsd:sequence>
          <xsd:element name="documentManagement">
            <xsd:complexType>
              <xsd:all>
                <xsd:element ref="ns2:typinf" minOccurs="0"/>
                <xsd:element ref="ns2:Pozna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1ab57-7394-480c-8474-582c43675c91" elementFormDefault="qualified">
    <xsd:import namespace="http://schemas.microsoft.com/office/2006/documentManagement/types"/>
    <xsd:import namespace="http://schemas.microsoft.com/office/infopath/2007/PartnerControls"/>
    <xsd:element name="typinf" ma:index="8" nillable="true" ma:displayName="Typinf" ma:internalName="Typinf" ma:percentage="FALSE">
      <xsd:simpleType>
        <xsd:restriction base="dms:Number"/>
      </xsd:simpleType>
    </xsd:element>
    <xsd:element name="Poznamka" ma:index="9" nillable="true" ma:displayName="Poznámka" ma:internalName="Pozna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amka xmlns="5981ab57-7394-480c-8474-582c43675c91" xsi:nil="true"/>
    <typinf xmlns="5981ab57-7394-480c-8474-582c43675c91">8169</typin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AEBA-7A98-4108-B89B-95776A731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1ab57-7394-480c-8474-582c43675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BF11B-672F-4E5C-B609-BFC28E19C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16531-B35C-4A08-AB26-95D9F904F42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5981ab57-7394-480c-8474-582c43675c9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E1D904-F653-47A3-8BEA-713A9A0E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2558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*10</vt:lpstr>
    </vt:vector>
  </TitlesOfParts>
  <Company>OZP</Company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*10</dc:title>
  <dc:creator>ozp</dc:creator>
  <cp:lastModifiedBy>Kopecká Zdenka</cp:lastModifiedBy>
  <cp:revision>6</cp:revision>
  <cp:lastPrinted>2018-11-16T06:25:00Z</cp:lastPrinted>
  <dcterms:created xsi:type="dcterms:W3CDTF">2018-11-21T09:01:00Z</dcterms:created>
  <dcterms:modified xsi:type="dcterms:W3CDTF">2018-11-28T13:00:00Z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0x0101000E1C4980ABE0664BBB729655733205F0</vt:lpwstr>
  </property>
  <property fmtid="{D5CDD505-2E9C-101B-9397-08002B2CF9AE}" pid="3" name="Order">
    <vt:r8>15700</vt:r8>
  </property>
  <property fmtid="{D5CDD505-2E9C-101B-9397-08002B2CF9AE}" pid="4" name="xd_ProgID">
    <vt:lpwstr/>
  </property>
  <property fmtid="{D5CDD505-2E9C-101B-9397-08002B2CF9AE}" pid="5" name="DocumentSetDescription">
    <vt:lpwstr/>
  </property>
  <property fmtid="{D5CDD505-2E9C-101B-9397-08002B2CF9AE}" pid="6" name="TemplateUrl">
    <vt:lpwstr/>
  </property>
</Properties>
</file>