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25D8" w14:textId="77777777" w:rsidR="000C48A7" w:rsidRPr="0077661C" w:rsidRDefault="000C48A7" w:rsidP="000C48A7">
      <w:pPr>
        <w:rPr>
          <w:rFonts w:ascii="Times New Roman" w:hAnsi="Times New Roman"/>
          <w:sz w:val="24"/>
          <w:szCs w:val="24"/>
        </w:rPr>
      </w:pPr>
    </w:p>
    <w:p w14:paraId="31CC83D8" w14:textId="77777777" w:rsidR="000C48A7" w:rsidRPr="0077661C" w:rsidRDefault="000C48A7" w:rsidP="000C48A7">
      <w:pPr>
        <w:rPr>
          <w:rFonts w:ascii="Times New Roman" w:hAnsi="Times New Roman"/>
          <w:sz w:val="24"/>
          <w:szCs w:val="24"/>
        </w:rPr>
      </w:pPr>
    </w:p>
    <w:p w14:paraId="0DEACE0A" w14:textId="10196B27" w:rsidR="000C48A7" w:rsidRPr="0077661C" w:rsidRDefault="00FD7568" w:rsidP="00FD7568">
      <w:pPr>
        <w:jc w:val="center"/>
        <w:rPr>
          <w:rFonts w:ascii="Times New Roman" w:hAnsi="Times New Roman"/>
          <w:b/>
          <w:sz w:val="24"/>
          <w:szCs w:val="24"/>
        </w:rPr>
      </w:pPr>
      <w:r w:rsidRPr="0077661C">
        <w:rPr>
          <w:rFonts w:ascii="Times New Roman" w:hAnsi="Times New Roman"/>
          <w:b/>
          <w:sz w:val="24"/>
          <w:szCs w:val="24"/>
        </w:rPr>
        <w:t>Směrnice upravující el</w:t>
      </w:r>
      <w:r w:rsidR="009B2D27" w:rsidRPr="0077661C">
        <w:rPr>
          <w:rFonts w:ascii="Times New Roman" w:hAnsi="Times New Roman"/>
          <w:b/>
          <w:sz w:val="24"/>
          <w:szCs w:val="24"/>
        </w:rPr>
        <w:t>iminaci</w:t>
      </w:r>
      <w:r w:rsidRPr="0077661C">
        <w:rPr>
          <w:rFonts w:ascii="Times New Roman" w:hAnsi="Times New Roman"/>
          <w:b/>
          <w:sz w:val="24"/>
          <w:szCs w:val="24"/>
        </w:rPr>
        <w:t xml:space="preserve"> rizik při správě osobních údajů – tec</w:t>
      </w:r>
      <w:r w:rsidR="009B2D27" w:rsidRPr="0077661C">
        <w:rPr>
          <w:rFonts w:ascii="Times New Roman" w:hAnsi="Times New Roman"/>
          <w:b/>
          <w:sz w:val="24"/>
          <w:szCs w:val="24"/>
        </w:rPr>
        <w:t>hnicko</w:t>
      </w:r>
      <w:r w:rsidR="00101E07" w:rsidRPr="0077661C">
        <w:rPr>
          <w:rFonts w:ascii="Times New Roman" w:hAnsi="Times New Roman"/>
          <w:b/>
          <w:sz w:val="24"/>
          <w:szCs w:val="24"/>
        </w:rPr>
        <w:t xml:space="preserve"> </w:t>
      </w:r>
      <w:r w:rsidRPr="0077661C">
        <w:rPr>
          <w:rFonts w:ascii="Times New Roman" w:hAnsi="Times New Roman"/>
          <w:b/>
          <w:sz w:val="24"/>
          <w:szCs w:val="24"/>
        </w:rPr>
        <w:t>–</w:t>
      </w:r>
      <w:r w:rsidR="00101E07" w:rsidRPr="0077661C">
        <w:rPr>
          <w:rFonts w:ascii="Times New Roman" w:hAnsi="Times New Roman"/>
          <w:b/>
          <w:sz w:val="24"/>
          <w:szCs w:val="24"/>
        </w:rPr>
        <w:t xml:space="preserve"> </w:t>
      </w:r>
      <w:r w:rsidRPr="0077661C">
        <w:rPr>
          <w:rFonts w:ascii="Times New Roman" w:hAnsi="Times New Roman"/>
          <w:b/>
          <w:sz w:val="24"/>
          <w:szCs w:val="24"/>
        </w:rPr>
        <w:t>organizační opatření</w:t>
      </w:r>
      <w:r w:rsidR="008D4B6F" w:rsidRPr="0077661C">
        <w:rPr>
          <w:rFonts w:ascii="Times New Roman" w:hAnsi="Times New Roman"/>
          <w:b/>
          <w:sz w:val="24"/>
          <w:szCs w:val="24"/>
        </w:rPr>
        <w:t xml:space="preserve"> v rozsahu ochrany osobních údajů a ve znění ust. § 55d zák. č. 372/2011 Sb., o zdravotních službách</w:t>
      </w:r>
    </w:p>
    <w:p w14:paraId="03EEFD93" w14:textId="77777777" w:rsidR="000C48A7" w:rsidRPr="0077661C" w:rsidRDefault="000C48A7" w:rsidP="000C48A7">
      <w:pPr>
        <w:rPr>
          <w:rFonts w:ascii="Times New Roman" w:hAnsi="Times New Roman"/>
          <w:sz w:val="24"/>
          <w:szCs w:val="24"/>
        </w:rPr>
      </w:pPr>
    </w:p>
    <w:p w14:paraId="02829CC4" w14:textId="77777777" w:rsidR="00101E07" w:rsidRPr="0077661C" w:rsidRDefault="00101E07" w:rsidP="000C48A7">
      <w:pPr>
        <w:rPr>
          <w:rFonts w:ascii="Times New Roman" w:hAnsi="Times New Roman"/>
          <w:sz w:val="24"/>
          <w:szCs w:val="24"/>
        </w:rPr>
      </w:pPr>
    </w:p>
    <w:p w14:paraId="67C4ACB2" w14:textId="77777777" w:rsidR="00101E07" w:rsidRPr="0077661C" w:rsidRDefault="00101E07" w:rsidP="000C48A7">
      <w:pPr>
        <w:rPr>
          <w:rFonts w:ascii="Times New Roman" w:hAnsi="Times New Roman"/>
          <w:sz w:val="24"/>
          <w:szCs w:val="24"/>
        </w:rPr>
      </w:pPr>
    </w:p>
    <w:p w14:paraId="7F2209EB" w14:textId="77777777" w:rsidR="00101E07" w:rsidRPr="0077661C" w:rsidRDefault="00101E07" w:rsidP="000C48A7">
      <w:pPr>
        <w:rPr>
          <w:rFonts w:ascii="Times New Roman" w:hAnsi="Times New Roman"/>
          <w:sz w:val="24"/>
          <w:szCs w:val="24"/>
        </w:rPr>
      </w:pPr>
    </w:p>
    <w:p w14:paraId="57E38ABC" w14:textId="77777777" w:rsidR="00101E07" w:rsidRPr="0077661C" w:rsidRDefault="00101E07" w:rsidP="000C48A7">
      <w:pPr>
        <w:rPr>
          <w:rFonts w:ascii="Times New Roman" w:hAnsi="Times New Roman"/>
          <w:sz w:val="24"/>
          <w:szCs w:val="24"/>
        </w:rPr>
      </w:pPr>
    </w:p>
    <w:p w14:paraId="4F4E2CA2" w14:textId="77777777" w:rsidR="000C48A7" w:rsidRPr="0077661C" w:rsidRDefault="000C48A7" w:rsidP="000C48A7">
      <w:pPr>
        <w:pStyle w:val="Obsah1"/>
        <w:rPr>
          <w:rFonts w:ascii="Times New Roman" w:hAnsi="Times New Roman"/>
          <w:szCs w:val="24"/>
        </w:rPr>
      </w:pPr>
      <w:r w:rsidRPr="0077661C">
        <w:rPr>
          <w:rFonts w:ascii="Times New Roman" w:hAnsi="Times New Roman"/>
          <w:szCs w:val="24"/>
        </w:rPr>
        <w:t>Obsah</w:t>
      </w:r>
    </w:p>
    <w:p w14:paraId="051310A2" w14:textId="77777777" w:rsidR="000C48A7" w:rsidRPr="0077661C" w:rsidRDefault="000C48A7" w:rsidP="000C48A7">
      <w:pPr>
        <w:rPr>
          <w:rFonts w:ascii="Times New Roman" w:hAnsi="Times New Roman"/>
          <w:sz w:val="24"/>
          <w:szCs w:val="24"/>
        </w:rPr>
      </w:pPr>
    </w:p>
    <w:p w14:paraId="4771B8CB" w14:textId="77777777" w:rsidR="008162F8" w:rsidRPr="0077661C" w:rsidRDefault="008162F8" w:rsidP="008162F8">
      <w:pPr>
        <w:pStyle w:val="Odstavecseseznamem"/>
        <w:numPr>
          <w:ilvl w:val="0"/>
          <w:numId w:val="13"/>
        </w:numPr>
        <w:rPr>
          <w:rFonts w:ascii="Times New Roman" w:hAnsi="Times New Roman"/>
          <w:b/>
          <w:sz w:val="24"/>
          <w:szCs w:val="24"/>
        </w:rPr>
      </w:pPr>
      <w:r w:rsidRPr="0077661C">
        <w:rPr>
          <w:rFonts w:ascii="Times New Roman" w:hAnsi="Times New Roman"/>
          <w:b/>
          <w:sz w:val="24"/>
          <w:szCs w:val="24"/>
        </w:rPr>
        <w:t>Účel</w:t>
      </w:r>
    </w:p>
    <w:p w14:paraId="70CB2872" w14:textId="77777777" w:rsidR="008162F8" w:rsidRPr="0077661C" w:rsidRDefault="008162F8" w:rsidP="008162F8">
      <w:pPr>
        <w:pStyle w:val="Odstavecseseznamem"/>
        <w:numPr>
          <w:ilvl w:val="0"/>
          <w:numId w:val="13"/>
        </w:numPr>
        <w:rPr>
          <w:rFonts w:ascii="Times New Roman" w:hAnsi="Times New Roman"/>
          <w:b/>
          <w:sz w:val="24"/>
          <w:szCs w:val="24"/>
        </w:rPr>
      </w:pPr>
      <w:r w:rsidRPr="0077661C">
        <w:rPr>
          <w:rFonts w:ascii="Times New Roman" w:hAnsi="Times New Roman"/>
          <w:b/>
          <w:sz w:val="24"/>
          <w:szCs w:val="24"/>
        </w:rPr>
        <w:t>Oblast platnosti</w:t>
      </w:r>
    </w:p>
    <w:p w14:paraId="3CDBA26A" w14:textId="77777777" w:rsidR="008162F8" w:rsidRPr="0077661C" w:rsidRDefault="008162F8" w:rsidP="008162F8">
      <w:pPr>
        <w:pStyle w:val="Odstavecseseznamem"/>
        <w:numPr>
          <w:ilvl w:val="0"/>
          <w:numId w:val="13"/>
        </w:numPr>
        <w:rPr>
          <w:rFonts w:ascii="Times New Roman" w:hAnsi="Times New Roman"/>
          <w:b/>
          <w:sz w:val="24"/>
          <w:szCs w:val="24"/>
        </w:rPr>
      </w:pPr>
      <w:r w:rsidRPr="0077661C">
        <w:rPr>
          <w:rFonts w:ascii="Times New Roman" w:hAnsi="Times New Roman"/>
          <w:b/>
          <w:sz w:val="24"/>
          <w:szCs w:val="24"/>
        </w:rPr>
        <w:t>Pojmy</w:t>
      </w:r>
    </w:p>
    <w:p w14:paraId="50F27FDE" w14:textId="77777777" w:rsidR="008162F8" w:rsidRPr="0077661C" w:rsidRDefault="008162F8" w:rsidP="008162F8">
      <w:pPr>
        <w:pStyle w:val="Odstavecseseznamem"/>
        <w:numPr>
          <w:ilvl w:val="0"/>
          <w:numId w:val="13"/>
        </w:numPr>
        <w:rPr>
          <w:rFonts w:ascii="Times New Roman" w:hAnsi="Times New Roman"/>
          <w:b/>
          <w:sz w:val="24"/>
          <w:szCs w:val="24"/>
        </w:rPr>
      </w:pPr>
      <w:r w:rsidRPr="0077661C">
        <w:rPr>
          <w:rFonts w:ascii="Times New Roman" w:hAnsi="Times New Roman"/>
          <w:b/>
          <w:sz w:val="24"/>
          <w:szCs w:val="24"/>
        </w:rPr>
        <w:t>Řízení rizik</w:t>
      </w:r>
    </w:p>
    <w:p w14:paraId="02204CCE" w14:textId="77777777" w:rsidR="008162F8" w:rsidRPr="0077661C" w:rsidRDefault="008162F8" w:rsidP="008162F8">
      <w:pPr>
        <w:pStyle w:val="Odstavecseseznamem"/>
        <w:rPr>
          <w:rFonts w:ascii="Times New Roman" w:hAnsi="Times New Roman"/>
          <w:b/>
          <w:sz w:val="24"/>
          <w:szCs w:val="24"/>
        </w:rPr>
      </w:pPr>
      <w:r w:rsidRPr="0077661C">
        <w:rPr>
          <w:rFonts w:ascii="Times New Roman" w:hAnsi="Times New Roman"/>
          <w:b/>
          <w:sz w:val="24"/>
          <w:szCs w:val="24"/>
        </w:rPr>
        <w:t>Přílohy</w:t>
      </w:r>
    </w:p>
    <w:p w14:paraId="2C2F368E" w14:textId="77777777" w:rsidR="000C48A7" w:rsidRPr="0077661C" w:rsidRDefault="000C48A7" w:rsidP="000C48A7">
      <w:pPr>
        <w:pStyle w:val="Nadpis1"/>
        <w:pageBreakBefore/>
        <w:numPr>
          <w:ilvl w:val="0"/>
          <w:numId w:val="1"/>
        </w:numPr>
        <w:tabs>
          <w:tab w:val="clear" w:pos="360"/>
          <w:tab w:val="clear" w:pos="426"/>
          <w:tab w:val="left" w:pos="284"/>
        </w:tabs>
        <w:spacing w:before="120" w:after="0"/>
        <w:ind w:left="284" w:hanging="284"/>
        <w:rPr>
          <w:rFonts w:ascii="Times New Roman" w:hAnsi="Times New Roman"/>
          <w:szCs w:val="24"/>
        </w:rPr>
      </w:pPr>
      <w:bookmarkStart w:id="0" w:name="_Toc276715653"/>
      <w:r w:rsidRPr="0077661C">
        <w:rPr>
          <w:rFonts w:ascii="Times New Roman" w:hAnsi="Times New Roman"/>
          <w:szCs w:val="24"/>
        </w:rPr>
        <w:lastRenderedPageBreak/>
        <w:t>Účel</w:t>
      </w:r>
      <w:bookmarkEnd w:id="0"/>
    </w:p>
    <w:p w14:paraId="2A4CB683" w14:textId="51260E3E" w:rsidR="000C48A7" w:rsidRPr="0077661C" w:rsidRDefault="000C48A7" w:rsidP="000C48A7">
      <w:pPr>
        <w:pStyle w:val="Zkladntext"/>
        <w:spacing w:before="60"/>
        <w:rPr>
          <w:rFonts w:ascii="Times New Roman" w:hAnsi="Times New Roman"/>
          <w:sz w:val="24"/>
          <w:szCs w:val="24"/>
        </w:rPr>
      </w:pPr>
      <w:r w:rsidRPr="0077661C">
        <w:rPr>
          <w:rFonts w:ascii="Times New Roman" w:hAnsi="Times New Roman"/>
          <w:sz w:val="24"/>
          <w:szCs w:val="24"/>
        </w:rPr>
        <w:t xml:space="preserve">Tento pracovní postup stanovuje pravidla pro řízení rizik při zpracování osobních údajů u </w:t>
      </w:r>
      <w:r w:rsidR="008D4B6F" w:rsidRPr="0077661C">
        <w:rPr>
          <w:rFonts w:ascii="Times New Roman" w:hAnsi="Times New Roman"/>
          <w:sz w:val="24"/>
          <w:szCs w:val="24"/>
        </w:rPr>
        <w:t>…………………</w:t>
      </w:r>
      <w:r w:rsidRPr="0077661C">
        <w:rPr>
          <w:rFonts w:ascii="Times New Roman" w:hAnsi="Times New Roman"/>
          <w:sz w:val="24"/>
          <w:szCs w:val="24"/>
        </w:rPr>
        <w:t xml:space="preserve"> jako </w:t>
      </w:r>
      <w:r w:rsidR="00835B21" w:rsidRPr="0077661C">
        <w:rPr>
          <w:rFonts w:ascii="Times New Roman" w:hAnsi="Times New Roman"/>
          <w:sz w:val="24"/>
          <w:szCs w:val="24"/>
        </w:rPr>
        <w:t>s</w:t>
      </w:r>
      <w:r w:rsidRPr="0077661C">
        <w:rPr>
          <w:rFonts w:ascii="Times New Roman" w:hAnsi="Times New Roman"/>
          <w:sz w:val="24"/>
          <w:szCs w:val="24"/>
        </w:rPr>
        <w:t xml:space="preserve">právce. Správce zpracovává osobní údaje při: </w:t>
      </w:r>
    </w:p>
    <w:p w14:paraId="5C0290A9" w14:textId="54515DDD" w:rsidR="00835B21" w:rsidRPr="0077661C" w:rsidRDefault="00835B21" w:rsidP="00835B21">
      <w:pPr>
        <w:pStyle w:val="Zkladntext"/>
        <w:numPr>
          <w:ilvl w:val="0"/>
          <w:numId w:val="9"/>
        </w:numPr>
        <w:spacing w:before="60"/>
        <w:rPr>
          <w:rFonts w:ascii="Times New Roman" w:hAnsi="Times New Roman"/>
          <w:sz w:val="24"/>
          <w:szCs w:val="24"/>
        </w:rPr>
      </w:pPr>
      <w:r w:rsidRPr="0077661C">
        <w:rPr>
          <w:rFonts w:ascii="Times New Roman" w:hAnsi="Times New Roman"/>
          <w:sz w:val="24"/>
          <w:szCs w:val="24"/>
        </w:rPr>
        <w:t xml:space="preserve">vedení </w:t>
      </w:r>
      <w:r w:rsidR="008D4B6F" w:rsidRPr="0077661C">
        <w:rPr>
          <w:rFonts w:ascii="Times New Roman" w:hAnsi="Times New Roman"/>
          <w:sz w:val="24"/>
          <w:szCs w:val="24"/>
        </w:rPr>
        <w:t>zdravotnické dokumentace pacientů v elektronické/ listinné formě dle aktuálně platného znění zákona č. 372/2011 Sb., o zdravotních službách a vyhl. č. 444/2025 Sb., o zdravotnické dokumentaci</w:t>
      </w:r>
      <w:r w:rsidRPr="0077661C">
        <w:rPr>
          <w:rFonts w:ascii="Times New Roman" w:hAnsi="Times New Roman"/>
          <w:sz w:val="24"/>
          <w:szCs w:val="24"/>
        </w:rPr>
        <w:t>.</w:t>
      </w:r>
    </w:p>
    <w:p w14:paraId="697491C3" w14:textId="4EFB8DA0" w:rsidR="00835B21" w:rsidRPr="0077661C" w:rsidRDefault="00835B21" w:rsidP="00835B21">
      <w:pPr>
        <w:pStyle w:val="Zkladntext"/>
        <w:numPr>
          <w:ilvl w:val="0"/>
          <w:numId w:val="9"/>
        </w:numPr>
        <w:spacing w:before="60"/>
        <w:rPr>
          <w:rFonts w:ascii="Times New Roman" w:hAnsi="Times New Roman"/>
          <w:sz w:val="24"/>
          <w:szCs w:val="24"/>
        </w:rPr>
      </w:pPr>
      <w:r w:rsidRPr="0077661C">
        <w:rPr>
          <w:rFonts w:ascii="Times New Roman" w:hAnsi="Times New Roman"/>
          <w:sz w:val="24"/>
          <w:szCs w:val="24"/>
        </w:rPr>
        <w:t xml:space="preserve">vedení evidence stížností v rámci </w:t>
      </w:r>
      <w:r w:rsidR="008D4B6F" w:rsidRPr="0077661C">
        <w:rPr>
          <w:rFonts w:ascii="Times New Roman" w:hAnsi="Times New Roman"/>
          <w:sz w:val="24"/>
          <w:szCs w:val="24"/>
        </w:rPr>
        <w:t xml:space="preserve">zákona č. 372/2011 Sb., o zdravotních službách </w:t>
      </w:r>
    </w:p>
    <w:p w14:paraId="3808D509" w14:textId="7E3C7877" w:rsidR="00835B21" w:rsidRPr="0077661C" w:rsidRDefault="00835B21" w:rsidP="00835B21">
      <w:pPr>
        <w:pStyle w:val="Zkladntext"/>
        <w:numPr>
          <w:ilvl w:val="0"/>
          <w:numId w:val="9"/>
        </w:numPr>
        <w:spacing w:before="60"/>
        <w:rPr>
          <w:rFonts w:ascii="Times New Roman" w:hAnsi="Times New Roman"/>
          <w:sz w:val="24"/>
          <w:szCs w:val="24"/>
        </w:rPr>
      </w:pPr>
      <w:r w:rsidRPr="0077661C">
        <w:rPr>
          <w:rFonts w:ascii="Times New Roman" w:hAnsi="Times New Roman"/>
          <w:sz w:val="24"/>
          <w:szCs w:val="24"/>
        </w:rPr>
        <w:t xml:space="preserve">vedení evidencí plynoucích z dalších činností </w:t>
      </w:r>
      <w:proofErr w:type="gramStart"/>
      <w:r w:rsidR="008D4B6F" w:rsidRPr="0077661C">
        <w:rPr>
          <w:rFonts w:ascii="Times New Roman" w:hAnsi="Times New Roman"/>
          <w:sz w:val="24"/>
          <w:szCs w:val="24"/>
        </w:rPr>
        <w:t>poskytovatele….</w:t>
      </w:r>
      <w:proofErr w:type="gramEnd"/>
      <w:r w:rsidR="008D4B6F" w:rsidRPr="0077661C">
        <w:rPr>
          <w:rFonts w:ascii="Times New Roman" w:hAnsi="Times New Roman"/>
          <w:sz w:val="24"/>
          <w:szCs w:val="24"/>
        </w:rPr>
        <w:t>.</w:t>
      </w:r>
    </w:p>
    <w:p w14:paraId="45E18306" w14:textId="77777777" w:rsidR="000C48A7" w:rsidRPr="0077661C" w:rsidRDefault="000C48A7" w:rsidP="00835B21">
      <w:pPr>
        <w:pStyle w:val="Zkladntext"/>
        <w:numPr>
          <w:ilvl w:val="0"/>
          <w:numId w:val="9"/>
        </w:numPr>
        <w:spacing w:before="60"/>
        <w:rPr>
          <w:rFonts w:ascii="Times New Roman" w:hAnsi="Times New Roman"/>
          <w:sz w:val="24"/>
          <w:szCs w:val="24"/>
        </w:rPr>
      </w:pPr>
      <w:r w:rsidRPr="0077661C">
        <w:rPr>
          <w:rFonts w:ascii="Times New Roman" w:hAnsi="Times New Roman"/>
          <w:sz w:val="24"/>
          <w:szCs w:val="24"/>
        </w:rPr>
        <w:t xml:space="preserve">vedení adresářů </w:t>
      </w:r>
      <w:r w:rsidR="00994BA8" w:rsidRPr="0077661C">
        <w:rPr>
          <w:rFonts w:ascii="Times New Roman" w:hAnsi="Times New Roman"/>
          <w:sz w:val="24"/>
          <w:szCs w:val="24"/>
        </w:rPr>
        <w:t>dodavatelů</w:t>
      </w:r>
      <w:r w:rsidR="00835B21" w:rsidRPr="0077661C">
        <w:rPr>
          <w:rFonts w:ascii="Times New Roman" w:hAnsi="Times New Roman"/>
          <w:sz w:val="24"/>
          <w:szCs w:val="24"/>
        </w:rPr>
        <w:t xml:space="preserve"> a spolupracujících subjektů</w:t>
      </w:r>
    </w:p>
    <w:p w14:paraId="776C6554" w14:textId="77777777" w:rsidR="000C48A7" w:rsidRPr="0077661C" w:rsidRDefault="000C48A7" w:rsidP="000C48A7">
      <w:pPr>
        <w:pStyle w:val="Zkladntext"/>
        <w:numPr>
          <w:ilvl w:val="0"/>
          <w:numId w:val="9"/>
        </w:numPr>
        <w:spacing w:before="60"/>
        <w:rPr>
          <w:rFonts w:ascii="Times New Roman" w:hAnsi="Times New Roman"/>
          <w:sz w:val="24"/>
          <w:szCs w:val="24"/>
        </w:rPr>
      </w:pPr>
      <w:r w:rsidRPr="0077661C">
        <w:rPr>
          <w:rFonts w:ascii="Times New Roman" w:hAnsi="Times New Roman"/>
          <w:sz w:val="24"/>
          <w:szCs w:val="24"/>
        </w:rPr>
        <w:t xml:space="preserve">zpracování výkazů pro zdravotní pojišťovny </w:t>
      </w:r>
    </w:p>
    <w:p w14:paraId="147833CA" w14:textId="77777777" w:rsidR="003957BF" w:rsidRPr="0077661C" w:rsidRDefault="003957BF" w:rsidP="000C48A7">
      <w:pPr>
        <w:pStyle w:val="Zkladntext"/>
        <w:numPr>
          <w:ilvl w:val="0"/>
          <w:numId w:val="9"/>
        </w:numPr>
        <w:spacing w:before="60"/>
        <w:rPr>
          <w:rFonts w:ascii="Times New Roman" w:hAnsi="Times New Roman"/>
          <w:sz w:val="24"/>
          <w:szCs w:val="24"/>
        </w:rPr>
      </w:pPr>
      <w:r w:rsidRPr="0077661C">
        <w:rPr>
          <w:rFonts w:ascii="Times New Roman" w:hAnsi="Times New Roman"/>
          <w:sz w:val="24"/>
          <w:szCs w:val="24"/>
        </w:rPr>
        <w:t>zpracování mzdové agendy</w:t>
      </w:r>
    </w:p>
    <w:p w14:paraId="626791FD" w14:textId="77777777" w:rsidR="000C48A7" w:rsidRPr="0077661C" w:rsidRDefault="000C48A7" w:rsidP="000C48A7">
      <w:pPr>
        <w:pStyle w:val="Zkladntext"/>
        <w:numPr>
          <w:ilvl w:val="0"/>
          <w:numId w:val="9"/>
        </w:numPr>
        <w:spacing w:before="60"/>
        <w:rPr>
          <w:rFonts w:ascii="Times New Roman" w:hAnsi="Times New Roman"/>
          <w:sz w:val="24"/>
          <w:szCs w:val="24"/>
        </w:rPr>
      </w:pPr>
      <w:r w:rsidRPr="0077661C">
        <w:rPr>
          <w:rFonts w:ascii="Times New Roman" w:hAnsi="Times New Roman"/>
          <w:sz w:val="24"/>
          <w:szCs w:val="24"/>
        </w:rPr>
        <w:t xml:space="preserve">účetních a daňových operacích </w:t>
      </w:r>
    </w:p>
    <w:p w14:paraId="3A588D4C" w14:textId="77777777" w:rsidR="000C48A7" w:rsidRPr="0077661C" w:rsidRDefault="000C48A7" w:rsidP="000C48A7">
      <w:pPr>
        <w:pStyle w:val="Zkladntext"/>
        <w:numPr>
          <w:ilvl w:val="0"/>
          <w:numId w:val="9"/>
        </w:numPr>
        <w:spacing w:before="60"/>
        <w:rPr>
          <w:rFonts w:ascii="Times New Roman" w:hAnsi="Times New Roman"/>
          <w:sz w:val="24"/>
          <w:szCs w:val="24"/>
        </w:rPr>
      </w:pPr>
      <w:r w:rsidRPr="0077661C">
        <w:rPr>
          <w:rFonts w:ascii="Times New Roman" w:hAnsi="Times New Roman"/>
          <w:sz w:val="24"/>
          <w:szCs w:val="24"/>
        </w:rPr>
        <w:t>osobních spisů zaměstnanců</w:t>
      </w:r>
    </w:p>
    <w:p w14:paraId="72317625" w14:textId="77777777" w:rsidR="000C48A7" w:rsidRPr="0077661C" w:rsidRDefault="000C48A7" w:rsidP="000C48A7">
      <w:pPr>
        <w:pStyle w:val="Zkladntext"/>
        <w:numPr>
          <w:ilvl w:val="0"/>
          <w:numId w:val="9"/>
        </w:numPr>
        <w:spacing w:before="60"/>
        <w:rPr>
          <w:rFonts w:ascii="Times New Roman" w:hAnsi="Times New Roman"/>
          <w:sz w:val="24"/>
          <w:szCs w:val="24"/>
        </w:rPr>
      </w:pPr>
      <w:r w:rsidRPr="0077661C">
        <w:rPr>
          <w:rFonts w:ascii="Times New Roman" w:hAnsi="Times New Roman"/>
          <w:sz w:val="24"/>
          <w:szCs w:val="24"/>
        </w:rPr>
        <w:t>vedení evidence daňových dokladů vystavených dodavatel</w:t>
      </w:r>
      <w:r w:rsidR="007B08D1" w:rsidRPr="0077661C">
        <w:rPr>
          <w:rFonts w:ascii="Times New Roman" w:hAnsi="Times New Roman"/>
          <w:sz w:val="24"/>
          <w:szCs w:val="24"/>
        </w:rPr>
        <w:t xml:space="preserve">ům a </w:t>
      </w:r>
      <w:r w:rsidR="00835B21" w:rsidRPr="0077661C">
        <w:rPr>
          <w:rFonts w:ascii="Times New Roman" w:hAnsi="Times New Roman"/>
          <w:sz w:val="24"/>
          <w:szCs w:val="24"/>
        </w:rPr>
        <w:t>dalším subjektům</w:t>
      </w:r>
    </w:p>
    <w:p w14:paraId="6E8E6BF7" w14:textId="77777777" w:rsidR="000C48A7" w:rsidRPr="0077661C" w:rsidRDefault="000C48A7" w:rsidP="000C48A7">
      <w:pPr>
        <w:pStyle w:val="Nadpis1"/>
        <w:numPr>
          <w:ilvl w:val="0"/>
          <w:numId w:val="1"/>
        </w:numPr>
        <w:tabs>
          <w:tab w:val="clear" w:pos="360"/>
          <w:tab w:val="clear" w:pos="426"/>
          <w:tab w:val="left" w:pos="284"/>
        </w:tabs>
        <w:spacing w:before="360" w:after="0"/>
        <w:ind w:left="284" w:hanging="284"/>
        <w:rPr>
          <w:rFonts w:ascii="Times New Roman" w:hAnsi="Times New Roman"/>
          <w:szCs w:val="24"/>
          <w:u w:val="none"/>
        </w:rPr>
      </w:pPr>
      <w:bookmarkStart w:id="1" w:name="_Toc466688861"/>
      <w:bookmarkStart w:id="2" w:name="_Toc466694509"/>
      <w:bookmarkStart w:id="3" w:name="_Toc23756895"/>
      <w:bookmarkStart w:id="4" w:name="_Toc37206695"/>
      <w:bookmarkStart w:id="5" w:name="_Toc37207021"/>
      <w:bookmarkStart w:id="6" w:name="_Toc37207374"/>
      <w:bookmarkStart w:id="7" w:name="_Toc37651062"/>
      <w:bookmarkStart w:id="8" w:name="_Toc38946961"/>
      <w:bookmarkStart w:id="9" w:name="_Toc40763568"/>
      <w:bookmarkStart w:id="10" w:name="_Toc237151073"/>
      <w:bookmarkStart w:id="11" w:name="_Toc276715654"/>
      <w:bookmarkEnd w:id="1"/>
      <w:r w:rsidRPr="0077661C">
        <w:rPr>
          <w:rFonts w:ascii="Times New Roman" w:hAnsi="Times New Roman"/>
          <w:szCs w:val="24"/>
        </w:rPr>
        <w:t>Oblast platnosti</w:t>
      </w:r>
      <w:bookmarkEnd w:id="2"/>
      <w:bookmarkEnd w:id="3"/>
      <w:bookmarkEnd w:id="4"/>
      <w:bookmarkEnd w:id="5"/>
      <w:bookmarkEnd w:id="6"/>
      <w:bookmarkEnd w:id="7"/>
      <w:bookmarkEnd w:id="8"/>
      <w:bookmarkEnd w:id="9"/>
      <w:bookmarkEnd w:id="10"/>
      <w:bookmarkEnd w:id="11"/>
    </w:p>
    <w:p w14:paraId="68D0CCC0" w14:textId="77777777" w:rsidR="000C48A7" w:rsidRPr="0077661C" w:rsidRDefault="000C48A7" w:rsidP="000C48A7">
      <w:pPr>
        <w:pStyle w:val="Zkladntext"/>
        <w:spacing w:before="20"/>
        <w:rPr>
          <w:rFonts w:ascii="Times New Roman" w:hAnsi="Times New Roman"/>
          <w:strike/>
          <w:sz w:val="24"/>
          <w:szCs w:val="24"/>
        </w:rPr>
      </w:pPr>
      <w:r w:rsidRPr="0077661C">
        <w:rPr>
          <w:rFonts w:ascii="Times New Roman" w:hAnsi="Times New Roman"/>
          <w:sz w:val="24"/>
          <w:szCs w:val="24"/>
        </w:rPr>
        <w:t xml:space="preserve">Tento pracovní postup je závazný pro všechny zaměstnance </w:t>
      </w:r>
      <w:r w:rsidR="00835B21" w:rsidRPr="0077661C">
        <w:rPr>
          <w:rFonts w:ascii="Times New Roman" w:hAnsi="Times New Roman"/>
          <w:sz w:val="24"/>
          <w:szCs w:val="24"/>
        </w:rPr>
        <w:t>správce</w:t>
      </w:r>
      <w:r w:rsidRPr="0077661C">
        <w:rPr>
          <w:rFonts w:ascii="Times New Roman" w:hAnsi="Times New Roman"/>
          <w:sz w:val="24"/>
          <w:szCs w:val="24"/>
        </w:rPr>
        <w:t>.</w:t>
      </w:r>
    </w:p>
    <w:p w14:paraId="2D4BE2DA" w14:textId="77777777" w:rsidR="000C48A7" w:rsidRPr="0077661C" w:rsidRDefault="000C48A7" w:rsidP="000C48A7">
      <w:pPr>
        <w:pStyle w:val="Nadpis1"/>
        <w:numPr>
          <w:ilvl w:val="0"/>
          <w:numId w:val="1"/>
        </w:numPr>
        <w:tabs>
          <w:tab w:val="clear" w:pos="360"/>
          <w:tab w:val="clear" w:pos="426"/>
          <w:tab w:val="left" w:pos="284"/>
        </w:tabs>
        <w:spacing w:before="360" w:after="0"/>
        <w:ind w:left="284" w:hanging="284"/>
        <w:rPr>
          <w:rFonts w:ascii="Times New Roman" w:hAnsi="Times New Roman"/>
          <w:szCs w:val="24"/>
        </w:rPr>
      </w:pPr>
      <w:bookmarkStart w:id="12" w:name="_Toc466688862"/>
      <w:bookmarkStart w:id="13" w:name="_Toc37206696"/>
      <w:bookmarkStart w:id="14" w:name="_Toc37207022"/>
      <w:bookmarkStart w:id="15" w:name="_Toc37207375"/>
      <w:bookmarkStart w:id="16" w:name="_Toc37651063"/>
      <w:bookmarkStart w:id="17" w:name="_Toc38946962"/>
      <w:bookmarkStart w:id="18" w:name="_Toc40763569"/>
      <w:bookmarkStart w:id="19" w:name="_Toc237151074"/>
      <w:bookmarkStart w:id="20" w:name="_Toc276715655"/>
      <w:bookmarkEnd w:id="12"/>
      <w:r w:rsidRPr="0077661C">
        <w:rPr>
          <w:rFonts w:ascii="Times New Roman" w:hAnsi="Times New Roman"/>
          <w:szCs w:val="24"/>
        </w:rPr>
        <w:t>Pojmy a zkratky</w:t>
      </w:r>
      <w:bookmarkStart w:id="21" w:name="_Toc38946963"/>
      <w:bookmarkEnd w:id="13"/>
      <w:bookmarkEnd w:id="14"/>
      <w:bookmarkEnd w:id="15"/>
      <w:bookmarkEnd w:id="16"/>
      <w:bookmarkEnd w:id="17"/>
      <w:bookmarkEnd w:id="18"/>
      <w:bookmarkEnd w:id="19"/>
      <w:bookmarkEnd w:id="20"/>
    </w:p>
    <w:p w14:paraId="534A9DC2" w14:textId="77777777" w:rsidR="000C48A7" w:rsidRPr="0077661C" w:rsidRDefault="000C48A7" w:rsidP="000C48A7">
      <w:pPr>
        <w:pStyle w:val="Nadpis2"/>
        <w:numPr>
          <w:ilvl w:val="1"/>
          <w:numId w:val="2"/>
        </w:numPr>
        <w:ind w:left="426" w:hanging="437"/>
        <w:rPr>
          <w:rFonts w:ascii="Times New Roman" w:hAnsi="Times New Roman"/>
          <w:szCs w:val="24"/>
        </w:rPr>
      </w:pPr>
      <w:bookmarkStart w:id="22" w:name="_Toc276715656"/>
      <w:r w:rsidRPr="0077661C">
        <w:rPr>
          <w:rFonts w:ascii="Times New Roman" w:hAnsi="Times New Roman"/>
          <w:szCs w:val="24"/>
        </w:rPr>
        <w:t>Pojmy</w:t>
      </w:r>
      <w:bookmarkEnd w:id="22"/>
    </w:p>
    <w:p w14:paraId="70931023" w14:textId="77777777" w:rsidR="000C48A7" w:rsidRPr="0077661C" w:rsidRDefault="000C48A7" w:rsidP="000C48A7">
      <w:pPr>
        <w:pStyle w:val="Zkladntext"/>
        <w:spacing w:before="60"/>
        <w:rPr>
          <w:rFonts w:ascii="Times New Roman" w:hAnsi="Times New Roman"/>
          <w:b/>
          <w:sz w:val="24"/>
          <w:szCs w:val="24"/>
        </w:rPr>
      </w:pPr>
      <w:r w:rsidRPr="0077661C">
        <w:rPr>
          <w:rFonts w:ascii="Times New Roman" w:hAnsi="Times New Roman"/>
          <w:b/>
          <w:sz w:val="24"/>
          <w:szCs w:val="24"/>
        </w:rPr>
        <w:t>Riziko</w:t>
      </w:r>
    </w:p>
    <w:p w14:paraId="54DF07CC" w14:textId="77777777" w:rsidR="000C48A7" w:rsidRPr="0077661C" w:rsidRDefault="000C48A7" w:rsidP="000C48A7">
      <w:pPr>
        <w:pStyle w:val="Zkladntext"/>
        <w:numPr>
          <w:ilvl w:val="0"/>
          <w:numId w:val="4"/>
        </w:numPr>
        <w:tabs>
          <w:tab w:val="clear" w:pos="720"/>
        </w:tabs>
        <w:spacing w:before="0"/>
        <w:ind w:left="284" w:hanging="284"/>
        <w:rPr>
          <w:rFonts w:ascii="Times New Roman" w:hAnsi="Times New Roman"/>
          <w:sz w:val="24"/>
          <w:szCs w:val="24"/>
        </w:rPr>
      </w:pPr>
      <w:r w:rsidRPr="0077661C">
        <w:rPr>
          <w:rFonts w:ascii="Times New Roman" w:hAnsi="Times New Roman"/>
          <w:sz w:val="24"/>
          <w:szCs w:val="24"/>
        </w:rPr>
        <w:t>je obecně pravděpodobnost výskytu nežádoucí události s negativními dopady</w:t>
      </w:r>
    </w:p>
    <w:p w14:paraId="0B3B0B55" w14:textId="77777777" w:rsidR="000C48A7" w:rsidRPr="0077661C" w:rsidRDefault="000C48A7" w:rsidP="000C48A7">
      <w:pPr>
        <w:pStyle w:val="Zkladntext"/>
        <w:numPr>
          <w:ilvl w:val="0"/>
          <w:numId w:val="4"/>
        </w:numPr>
        <w:tabs>
          <w:tab w:val="clear" w:pos="720"/>
        </w:tabs>
        <w:spacing w:before="0"/>
        <w:ind w:left="284" w:hanging="284"/>
        <w:rPr>
          <w:rFonts w:ascii="Times New Roman" w:hAnsi="Times New Roman"/>
          <w:sz w:val="24"/>
          <w:szCs w:val="24"/>
        </w:rPr>
      </w:pPr>
      <w:r w:rsidRPr="0077661C">
        <w:rPr>
          <w:rFonts w:ascii="Times New Roman" w:hAnsi="Times New Roman"/>
          <w:sz w:val="24"/>
          <w:szCs w:val="24"/>
        </w:rPr>
        <w:t>je spojeno s pravděpodobností nebo možností vzniku škody</w:t>
      </w:r>
    </w:p>
    <w:p w14:paraId="732E76C5" w14:textId="77777777" w:rsidR="000C48A7" w:rsidRPr="0077661C" w:rsidRDefault="000C48A7" w:rsidP="000C48A7">
      <w:pPr>
        <w:pStyle w:val="Zkladntext"/>
        <w:numPr>
          <w:ilvl w:val="0"/>
          <w:numId w:val="4"/>
        </w:numPr>
        <w:tabs>
          <w:tab w:val="clear" w:pos="720"/>
        </w:tabs>
        <w:spacing w:before="20"/>
        <w:ind w:left="284" w:hanging="284"/>
        <w:rPr>
          <w:rFonts w:ascii="Times New Roman" w:hAnsi="Times New Roman"/>
          <w:sz w:val="24"/>
          <w:szCs w:val="24"/>
        </w:rPr>
      </w:pPr>
      <w:r w:rsidRPr="0077661C">
        <w:rPr>
          <w:rFonts w:ascii="Times New Roman" w:hAnsi="Times New Roman"/>
          <w:sz w:val="24"/>
          <w:szCs w:val="24"/>
        </w:rPr>
        <w:t>je kvantitativní a kvalitativní vyjádření ohrožení</w:t>
      </w:r>
    </w:p>
    <w:p w14:paraId="588F5AED" w14:textId="77777777" w:rsidR="000C48A7" w:rsidRPr="0077661C" w:rsidRDefault="000C48A7" w:rsidP="000C48A7">
      <w:pPr>
        <w:pStyle w:val="Zkladntext"/>
        <w:numPr>
          <w:ilvl w:val="0"/>
          <w:numId w:val="4"/>
        </w:numPr>
        <w:tabs>
          <w:tab w:val="clear" w:pos="720"/>
        </w:tabs>
        <w:spacing w:before="20"/>
        <w:ind w:left="284" w:hanging="284"/>
        <w:rPr>
          <w:rFonts w:ascii="Times New Roman" w:hAnsi="Times New Roman"/>
          <w:sz w:val="24"/>
          <w:szCs w:val="24"/>
        </w:rPr>
      </w:pPr>
      <w:r w:rsidRPr="0077661C">
        <w:rPr>
          <w:rFonts w:ascii="Times New Roman" w:hAnsi="Times New Roman"/>
          <w:sz w:val="24"/>
          <w:szCs w:val="24"/>
        </w:rPr>
        <w:t>vyjadřuje pravděpodobnost, že nastane negativní jev</w:t>
      </w:r>
    </w:p>
    <w:p w14:paraId="0EA01D94" w14:textId="77777777" w:rsidR="000C48A7" w:rsidRPr="0077661C" w:rsidRDefault="000C48A7" w:rsidP="00483C84">
      <w:pPr>
        <w:pStyle w:val="Zkladntext"/>
        <w:numPr>
          <w:ilvl w:val="0"/>
          <w:numId w:val="4"/>
        </w:numPr>
        <w:tabs>
          <w:tab w:val="clear" w:pos="720"/>
        </w:tabs>
        <w:spacing w:before="20"/>
        <w:ind w:left="284" w:hanging="284"/>
        <w:rPr>
          <w:rFonts w:ascii="Times New Roman" w:hAnsi="Times New Roman"/>
          <w:sz w:val="24"/>
          <w:szCs w:val="24"/>
        </w:rPr>
      </w:pPr>
      <w:r w:rsidRPr="0077661C">
        <w:rPr>
          <w:rFonts w:ascii="Times New Roman" w:hAnsi="Times New Roman"/>
          <w:sz w:val="24"/>
          <w:szCs w:val="24"/>
        </w:rPr>
        <w:t>vyjadřuje, kolikrát se negativní jev vyskytne a co způsobí.</w:t>
      </w:r>
    </w:p>
    <w:p w14:paraId="2F9B6453" w14:textId="77777777" w:rsidR="00483C84" w:rsidRPr="0077661C" w:rsidRDefault="00483C84" w:rsidP="00483C84">
      <w:pPr>
        <w:pStyle w:val="Zkladntext"/>
        <w:spacing w:before="20"/>
        <w:ind w:left="284"/>
        <w:rPr>
          <w:rFonts w:ascii="Times New Roman" w:hAnsi="Times New Roman"/>
          <w:sz w:val="24"/>
          <w:szCs w:val="24"/>
        </w:rPr>
      </w:pPr>
    </w:p>
    <w:p w14:paraId="77648869" w14:textId="77777777" w:rsidR="000C48A7" w:rsidRPr="0077661C" w:rsidRDefault="000C48A7" w:rsidP="000C48A7">
      <w:pPr>
        <w:pStyle w:val="Zkladntext"/>
        <w:spacing w:before="60"/>
        <w:rPr>
          <w:rFonts w:ascii="Times New Roman" w:hAnsi="Times New Roman"/>
          <w:sz w:val="24"/>
          <w:szCs w:val="24"/>
        </w:rPr>
      </w:pPr>
      <w:r w:rsidRPr="0077661C">
        <w:rPr>
          <w:rFonts w:ascii="Times New Roman" w:hAnsi="Times New Roman"/>
          <w:b/>
          <w:sz w:val="24"/>
          <w:szCs w:val="24"/>
        </w:rPr>
        <w:t xml:space="preserve">Míra rizika </w:t>
      </w:r>
      <w:r w:rsidRPr="0077661C">
        <w:rPr>
          <w:rFonts w:ascii="Times New Roman" w:hAnsi="Times New Roman"/>
          <w:sz w:val="24"/>
          <w:szCs w:val="24"/>
        </w:rPr>
        <w:t>– kombinace pravděpodobnost vzniku události a následků, které tato událost může způsobit.</w:t>
      </w:r>
    </w:p>
    <w:p w14:paraId="66D21030" w14:textId="77777777" w:rsidR="000C48A7" w:rsidRPr="0077661C" w:rsidRDefault="000C48A7" w:rsidP="000C48A7">
      <w:pPr>
        <w:pStyle w:val="Zkladntext"/>
        <w:spacing w:before="60"/>
        <w:rPr>
          <w:rFonts w:ascii="Times New Roman" w:hAnsi="Times New Roman"/>
          <w:sz w:val="24"/>
          <w:szCs w:val="24"/>
        </w:rPr>
      </w:pPr>
      <w:r w:rsidRPr="0077661C">
        <w:rPr>
          <w:rFonts w:ascii="Times New Roman" w:hAnsi="Times New Roman"/>
          <w:b/>
          <w:sz w:val="24"/>
          <w:szCs w:val="24"/>
        </w:rPr>
        <w:t xml:space="preserve">Analýza rizik </w:t>
      </w:r>
      <w:r w:rsidRPr="0077661C">
        <w:rPr>
          <w:rFonts w:ascii="Times New Roman" w:hAnsi="Times New Roman"/>
          <w:sz w:val="24"/>
          <w:szCs w:val="24"/>
        </w:rPr>
        <w:t>–</w:t>
      </w:r>
      <w:r w:rsidRPr="0077661C">
        <w:rPr>
          <w:rFonts w:ascii="Times New Roman" w:hAnsi="Times New Roman"/>
          <w:b/>
          <w:sz w:val="24"/>
          <w:szCs w:val="24"/>
        </w:rPr>
        <w:t xml:space="preserve"> </w:t>
      </w:r>
      <w:r w:rsidRPr="0077661C">
        <w:rPr>
          <w:rFonts w:ascii="Times New Roman" w:hAnsi="Times New Roman"/>
          <w:sz w:val="24"/>
          <w:szCs w:val="24"/>
        </w:rPr>
        <w:t>základní a nezbytný krok pro zvládání řízení rizik v organizaci, zvláště pak těch rizik, která ohrožují správný chod organizace.</w:t>
      </w:r>
    </w:p>
    <w:p w14:paraId="23C3FEF2" w14:textId="77777777" w:rsidR="000C48A7" w:rsidRPr="0077661C" w:rsidRDefault="000C48A7" w:rsidP="000C48A7">
      <w:pPr>
        <w:pStyle w:val="Zkladntext"/>
        <w:spacing w:before="60"/>
        <w:rPr>
          <w:rFonts w:ascii="Times New Roman" w:hAnsi="Times New Roman"/>
          <w:sz w:val="24"/>
          <w:szCs w:val="24"/>
        </w:rPr>
      </w:pPr>
    </w:p>
    <w:p w14:paraId="311846E8" w14:textId="77777777" w:rsidR="000C48A7" w:rsidRPr="0077661C" w:rsidRDefault="000C48A7" w:rsidP="000C48A7">
      <w:pPr>
        <w:pStyle w:val="Nadpis2"/>
        <w:numPr>
          <w:ilvl w:val="1"/>
          <w:numId w:val="3"/>
        </w:numPr>
        <w:tabs>
          <w:tab w:val="clear" w:pos="1146"/>
        </w:tabs>
        <w:spacing w:before="240"/>
        <w:ind w:left="425" w:hanging="425"/>
        <w:rPr>
          <w:rFonts w:ascii="Times New Roman" w:hAnsi="Times New Roman"/>
          <w:szCs w:val="24"/>
        </w:rPr>
      </w:pPr>
      <w:bookmarkStart w:id="23" w:name="_Toc466688863"/>
      <w:bookmarkStart w:id="24" w:name="_Toc466688864"/>
      <w:bookmarkStart w:id="25" w:name="_Toc466688866"/>
      <w:bookmarkStart w:id="26" w:name="_Toc276715660"/>
      <w:bookmarkEnd w:id="21"/>
      <w:bookmarkEnd w:id="23"/>
      <w:bookmarkEnd w:id="24"/>
      <w:bookmarkEnd w:id="25"/>
      <w:r w:rsidRPr="0077661C">
        <w:rPr>
          <w:rFonts w:ascii="Times New Roman" w:hAnsi="Times New Roman"/>
          <w:szCs w:val="24"/>
        </w:rPr>
        <w:t xml:space="preserve"> Prevence a řízení rizik</w:t>
      </w:r>
      <w:bookmarkEnd w:id="26"/>
    </w:p>
    <w:p w14:paraId="0B650694" w14:textId="77777777" w:rsidR="000C48A7" w:rsidRPr="0077661C" w:rsidRDefault="000C48A7" w:rsidP="000C48A7">
      <w:pPr>
        <w:tabs>
          <w:tab w:val="left" w:pos="360"/>
        </w:tabs>
        <w:spacing w:before="60"/>
        <w:jc w:val="both"/>
        <w:rPr>
          <w:rFonts w:ascii="Times New Roman" w:hAnsi="Times New Roman"/>
          <w:sz w:val="24"/>
          <w:szCs w:val="24"/>
        </w:rPr>
      </w:pPr>
      <w:bookmarkStart w:id="27" w:name="_Dokumentace_a_její"/>
      <w:bookmarkStart w:id="28" w:name="_Toc237151077"/>
      <w:bookmarkEnd w:id="27"/>
    </w:p>
    <w:p w14:paraId="3DBA1C81" w14:textId="77777777" w:rsidR="000C48A7" w:rsidRPr="0077661C" w:rsidRDefault="000C48A7" w:rsidP="000C48A7">
      <w:pPr>
        <w:tabs>
          <w:tab w:val="left" w:pos="360"/>
        </w:tabs>
        <w:spacing w:before="60"/>
        <w:jc w:val="both"/>
        <w:rPr>
          <w:rFonts w:ascii="Times New Roman" w:hAnsi="Times New Roman"/>
          <w:sz w:val="24"/>
          <w:szCs w:val="24"/>
        </w:rPr>
      </w:pPr>
      <w:r w:rsidRPr="0077661C">
        <w:rPr>
          <w:rFonts w:ascii="Times New Roman" w:hAnsi="Times New Roman"/>
          <w:sz w:val="24"/>
          <w:szCs w:val="24"/>
        </w:rPr>
        <w:t>Prevencí rizik se rozumí všechna opatření, která mají za cíl předcházet rizikům, snižovat je na přijatelnou úroveň a realizovat účinná preventivní opatření k jejich odstranění.</w:t>
      </w:r>
    </w:p>
    <w:p w14:paraId="27E4584E" w14:textId="77777777" w:rsidR="000C48A7" w:rsidRPr="0077661C" w:rsidRDefault="000C48A7" w:rsidP="000C48A7">
      <w:pPr>
        <w:tabs>
          <w:tab w:val="left" w:pos="360"/>
        </w:tabs>
        <w:spacing w:before="60"/>
        <w:jc w:val="both"/>
        <w:rPr>
          <w:rFonts w:ascii="Times New Roman" w:hAnsi="Times New Roman"/>
          <w:sz w:val="24"/>
          <w:szCs w:val="24"/>
        </w:rPr>
      </w:pPr>
      <w:r w:rsidRPr="0077661C">
        <w:rPr>
          <w:rFonts w:ascii="Times New Roman" w:hAnsi="Times New Roman"/>
          <w:sz w:val="24"/>
          <w:szCs w:val="24"/>
        </w:rPr>
        <w:t xml:space="preserve">Podmínkou účinné a účelné prevence rizik je jejich identifikace a porozumění jejich příčinám. Proto je </w:t>
      </w:r>
      <w:r w:rsidR="00835B21" w:rsidRPr="0077661C">
        <w:rPr>
          <w:rFonts w:ascii="Times New Roman" w:hAnsi="Times New Roman"/>
          <w:sz w:val="24"/>
          <w:szCs w:val="24"/>
        </w:rPr>
        <w:t xml:space="preserve">správce </w:t>
      </w:r>
      <w:r w:rsidRPr="0077661C">
        <w:rPr>
          <w:rFonts w:ascii="Times New Roman" w:hAnsi="Times New Roman"/>
          <w:sz w:val="24"/>
          <w:szCs w:val="24"/>
        </w:rPr>
        <w:t>povin</w:t>
      </w:r>
      <w:r w:rsidR="00835B21" w:rsidRPr="0077661C">
        <w:rPr>
          <w:rFonts w:ascii="Times New Roman" w:hAnsi="Times New Roman"/>
          <w:sz w:val="24"/>
          <w:szCs w:val="24"/>
        </w:rPr>
        <w:t>e</w:t>
      </w:r>
      <w:r w:rsidRPr="0077661C">
        <w:rPr>
          <w:rFonts w:ascii="Times New Roman" w:hAnsi="Times New Roman"/>
          <w:sz w:val="24"/>
          <w:szCs w:val="24"/>
        </w:rPr>
        <w:t>n rizika vyhledávat, zjišťovat jejich příčiny a zdroje a přijímat příslušná opatření.</w:t>
      </w:r>
    </w:p>
    <w:p w14:paraId="7E1C8133" w14:textId="77777777" w:rsidR="000C48A7" w:rsidRPr="0077661C" w:rsidRDefault="000C48A7" w:rsidP="000C48A7">
      <w:pPr>
        <w:tabs>
          <w:tab w:val="left" w:pos="360"/>
        </w:tabs>
        <w:spacing w:before="60"/>
        <w:jc w:val="both"/>
        <w:rPr>
          <w:rFonts w:ascii="Times New Roman" w:hAnsi="Times New Roman"/>
          <w:sz w:val="24"/>
          <w:szCs w:val="24"/>
        </w:rPr>
      </w:pPr>
      <w:r w:rsidRPr="0077661C">
        <w:rPr>
          <w:rFonts w:ascii="Times New Roman" w:hAnsi="Times New Roman"/>
          <w:sz w:val="24"/>
          <w:szCs w:val="24"/>
        </w:rPr>
        <w:t>Pro hodnocení rizik a zjištění jejich příčin a zdrojů se používají různé metody, které se od sebe liší mírou objektivity, pracností a účelem, ke kterému má hodnocení rizik sloužit. Zvolení metody je na zvážení organizace.</w:t>
      </w:r>
    </w:p>
    <w:p w14:paraId="26956BB4" w14:textId="77777777" w:rsidR="000C48A7" w:rsidRPr="0077661C" w:rsidRDefault="000C48A7" w:rsidP="000C48A7">
      <w:pPr>
        <w:pStyle w:val="Nadpis2"/>
        <w:numPr>
          <w:ilvl w:val="1"/>
          <w:numId w:val="3"/>
        </w:numPr>
        <w:tabs>
          <w:tab w:val="left" w:pos="426"/>
        </w:tabs>
        <w:spacing w:before="240"/>
        <w:ind w:left="425" w:hanging="425"/>
        <w:rPr>
          <w:rFonts w:ascii="Times New Roman" w:hAnsi="Times New Roman"/>
          <w:szCs w:val="24"/>
        </w:rPr>
      </w:pPr>
      <w:bookmarkStart w:id="29" w:name="_Toc276715661"/>
      <w:bookmarkEnd w:id="28"/>
      <w:r w:rsidRPr="0077661C">
        <w:rPr>
          <w:rFonts w:ascii="Times New Roman" w:hAnsi="Times New Roman"/>
          <w:szCs w:val="24"/>
        </w:rPr>
        <w:lastRenderedPageBreak/>
        <w:t>Analýza rizik</w:t>
      </w:r>
      <w:bookmarkEnd w:id="29"/>
    </w:p>
    <w:p w14:paraId="4D519AB4" w14:textId="77777777" w:rsidR="000C48A7" w:rsidRPr="0077661C" w:rsidRDefault="000C48A7" w:rsidP="000C48A7">
      <w:pPr>
        <w:spacing w:before="60"/>
        <w:jc w:val="both"/>
        <w:rPr>
          <w:rFonts w:ascii="Times New Roman" w:hAnsi="Times New Roman"/>
          <w:sz w:val="24"/>
          <w:szCs w:val="24"/>
        </w:rPr>
      </w:pPr>
      <w:r w:rsidRPr="0077661C">
        <w:rPr>
          <w:rFonts w:ascii="Times New Roman" w:hAnsi="Times New Roman"/>
          <w:sz w:val="24"/>
          <w:szCs w:val="24"/>
        </w:rPr>
        <w:t>Největší překážkou při hodnocení rizik je obvykle nedostatek dat a informací. Protože hodnocení rizik slouží jako základní zdroj informací pro rozhodování, je důležité znát a být si vědom omezení použitých metod. Základní podmínkou je dostatečná transparentnost jednotlivých kroků, jak pro uživatele výsledků hodnocení, tak pro ty, jichž se následky rizika mohou dotknout.</w:t>
      </w:r>
    </w:p>
    <w:p w14:paraId="4EA8BBB7" w14:textId="77777777" w:rsidR="000C48A7" w:rsidRPr="0077661C" w:rsidRDefault="000C48A7" w:rsidP="000C48A7">
      <w:pPr>
        <w:pStyle w:val="Nadpis2"/>
        <w:numPr>
          <w:ilvl w:val="1"/>
          <w:numId w:val="3"/>
        </w:numPr>
        <w:tabs>
          <w:tab w:val="clear" w:pos="1146"/>
          <w:tab w:val="left" w:pos="426"/>
        </w:tabs>
        <w:spacing w:before="240"/>
        <w:ind w:left="425" w:hanging="425"/>
        <w:rPr>
          <w:rFonts w:ascii="Times New Roman" w:hAnsi="Times New Roman"/>
          <w:szCs w:val="24"/>
        </w:rPr>
      </w:pPr>
      <w:bookmarkStart w:id="30" w:name="_Toc276715665"/>
      <w:r w:rsidRPr="0077661C">
        <w:rPr>
          <w:rFonts w:ascii="Times New Roman" w:hAnsi="Times New Roman"/>
          <w:szCs w:val="24"/>
        </w:rPr>
        <w:t>Pracovní postup</w:t>
      </w:r>
      <w:bookmarkEnd w:id="30"/>
    </w:p>
    <w:p w14:paraId="3A362A88" w14:textId="77777777" w:rsidR="000C48A7" w:rsidRPr="0077661C" w:rsidRDefault="00835B21" w:rsidP="000C48A7">
      <w:pPr>
        <w:numPr>
          <w:ilvl w:val="0"/>
          <w:numId w:val="5"/>
        </w:numPr>
        <w:tabs>
          <w:tab w:val="clear" w:pos="705"/>
          <w:tab w:val="left" w:pos="284"/>
        </w:tabs>
        <w:spacing w:before="40"/>
        <w:ind w:left="284" w:hanging="284"/>
        <w:jc w:val="both"/>
        <w:rPr>
          <w:rFonts w:ascii="Times New Roman" w:hAnsi="Times New Roman"/>
          <w:sz w:val="24"/>
          <w:szCs w:val="24"/>
        </w:rPr>
      </w:pPr>
      <w:r w:rsidRPr="0077661C">
        <w:rPr>
          <w:rFonts w:ascii="Times New Roman" w:hAnsi="Times New Roman"/>
          <w:sz w:val="24"/>
          <w:szCs w:val="24"/>
        </w:rPr>
        <w:t>Správce</w:t>
      </w:r>
      <w:r w:rsidR="000C48A7" w:rsidRPr="0077661C">
        <w:rPr>
          <w:rFonts w:ascii="Times New Roman" w:hAnsi="Times New Roman"/>
          <w:sz w:val="24"/>
          <w:szCs w:val="24"/>
        </w:rPr>
        <w:t xml:space="preserve"> je odpovědný za zpracování „Katalogu rizik“. </w:t>
      </w:r>
    </w:p>
    <w:p w14:paraId="4B0A6F15" w14:textId="77777777" w:rsidR="000C48A7" w:rsidRPr="0077661C" w:rsidRDefault="000C48A7" w:rsidP="000C48A7">
      <w:pPr>
        <w:numPr>
          <w:ilvl w:val="0"/>
          <w:numId w:val="5"/>
        </w:numPr>
        <w:tabs>
          <w:tab w:val="clear" w:pos="705"/>
          <w:tab w:val="left" w:pos="284"/>
        </w:tabs>
        <w:spacing w:before="40"/>
        <w:ind w:left="284" w:hanging="284"/>
        <w:jc w:val="both"/>
        <w:rPr>
          <w:rFonts w:ascii="Times New Roman" w:hAnsi="Times New Roman"/>
          <w:sz w:val="24"/>
          <w:szCs w:val="24"/>
        </w:rPr>
      </w:pPr>
      <w:r w:rsidRPr="0077661C">
        <w:rPr>
          <w:rFonts w:ascii="Times New Roman" w:hAnsi="Times New Roman"/>
          <w:sz w:val="24"/>
          <w:szCs w:val="24"/>
        </w:rPr>
        <w:t xml:space="preserve">Aktualizace Katalogu rizik probíhá podle potřeb. </w:t>
      </w:r>
    </w:p>
    <w:p w14:paraId="6A546400" w14:textId="77777777" w:rsidR="000C48A7" w:rsidRPr="0077661C" w:rsidRDefault="000C48A7" w:rsidP="000C48A7">
      <w:pPr>
        <w:pStyle w:val="Nadpis2"/>
        <w:numPr>
          <w:ilvl w:val="1"/>
          <w:numId w:val="3"/>
        </w:numPr>
        <w:tabs>
          <w:tab w:val="clear" w:pos="1146"/>
          <w:tab w:val="left" w:pos="426"/>
        </w:tabs>
        <w:spacing w:before="240"/>
        <w:ind w:left="425" w:hanging="425"/>
        <w:rPr>
          <w:rFonts w:ascii="Times New Roman" w:hAnsi="Times New Roman"/>
          <w:szCs w:val="24"/>
        </w:rPr>
      </w:pPr>
      <w:r w:rsidRPr="0077661C">
        <w:rPr>
          <w:rFonts w:ascii="Times New Roman" w:hAnsi="Times New Roman"/>
          <w:szCs w:val="24"/>
        </w:rPr>
        <w:t>Základní zásady eliminace rizik</w:t>
      </w:r>
    </w:p>
    <w:p w14:paraId="428D3901" w14:textId="77777777" w:rsidR="000C48A7" w:rsidRPr="0077661C" w:rsidRDefault="000C48A7" w:rsidP="000C48A7">
      <w:pPr>
        <w:tabs>
          <w:tab w:val="left" w:pos="284"/>
        </w:tabs>
        <w:spacing w:before="40"/>
        <w:jc w:val="both"/>
        <w:rPr>
          <w:rFonts w:ascii="Times New Roman" w:hAnsi="Times New Roman"/>
          <w:b/>
          <w:sz w:val="24"/>
          <w:szCs w:val="24"/>
        </w:rPr>
      </w:pPr>
    </w:p>
    <w:p w14:paraId="3ED0AF82"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Ochrana osobních údajů je zajišťována prostřednictvím ochrany médií/zařízení, která se používají k jejich zaznamenání. Tato ochrana je nezbytná pro snížení rizika neautorizovaného přístupu k datům a k zajištění ochrany proti ztrátě nebo poškození. Pozornost musí být věnována umístění a likvidaci médií/zařízení, která osobní údaje obsahují.</w:t>
      </w:r>
    </w:p>
    <w:p w14:paraId="66E9E764"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Média/Zařízení musí být umístěna a chráněna tak, aby se snížila rizika hrozeb a nebezpečí daná prostředím a aby se omezily příležitosti pro neoprávněný přístup.</w:t>
      </w:r>
    </w:p>
    <w:p w14:paraId="365EC703"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 xml:space="preserve">V případě použití elektronických zařízení pro zpracování a uchování osobních dat musí být zařízení chráněno před selháním napájení a před dalšími výpadky způsobenými selháním podpůrných služeb. </w:t>
      </w:r>
    </w:p>
    <w:p w14:paraId="6D059634"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Ochrana proti škodlivým programům je založena na detekci škodlivých programů, opravných programů a na bezpečnostním povědomí uživatelů. Instalace a pravidelná aktualizace antivirových detekčních a opravných programů pro kontrolu počítačů a médií je prováděna pravidelně a ve výjimečných případech ad-hoc způsobem.</w:t>
      </w:r>
    </w:p>
    <w:p w14:paraId="0A603A1C" w14:textId="77777777" w:rsidR="003957BF"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 xml:space="preserve">Záložní kopie důležitých informací a programového vybavení organizace jsou pořizovány a testovány v pravidelných intervalech. </w:t>
      </w:r>
    </w:p>
    <w:p w14:paraId="28A20955"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Zálohy jsou ukládány na bezpečném místě, aby v případě havárie nebyly poškozeny nebo zničeny.</w:t>
      </w:r>
    </w:p>
    <w:p w14:paraId="6B4CCE74"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Při správě vyměnitelných médií obsahujících osobní údaje je nutno dbát potřebné opatrnosti. Pokud média obsahují osobní údaje a jsou dále provozně neupotřebitelná, měla by být bezpečně zlikvidována, například spálením, skartováním nebo smazáním dat před jejich opětovným použitím jiným způsobem v rámci Správce.</w:t>
      </w:r>
    </w:p>
    <w:p w14:paraId="7C992A67"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Pro zabránění neautorizovanému přístupu nebo zneužití osobních údajů jsou stanovena zvláštní pravidla pro manipulaci s nimi a pro jejich ukládání (viz Přílohy č. 2-5).</w:t>
      </w:r>
    </w:p>
    <w:p w14:paraId="1AFCB1C6"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Přístupová pravidla a oprávnění k osobním údajům jsou jasně stanovena pro každého uživatele (viz Přílohy č. 3, 4) a jsou pravidelně monitorována a kontrolována.</w:t>
      </w:r>
    </w:p>
    <w:p w14:paraId="6B3CB23F"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 xml:space="preserve">Všichni zaměstnanci užívají jako způsob autentizace při použití výpočetní techniky k ověření své identity heslo. </w:t>
      </w:r>
    </w:p>
    <w:p w14:paraId="128F195E"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Při použití mobilní výpočetní techniky jsou přijata zvláštní opatření na ochranu proti rizikům použití mobilních výpočetních a komunikačních prostředků (viz Příloha č. 5)</w:t>
      </w:r>
    </w:p>
    <w:p w14:paraId="16CCF601" w14:textId="77777777" w:rsidR="000C48A7" w:rsidRPr="0077661C" w:rsidRDefault="000C48A7" w:rsidP="000C48A7">
      <w:pPr>
        <w:pStyle w:val="Odstavecseseznamem"/>
        <w:numPr>
          <w:ilvl w:val="0"/>
          <w:numId w:val="10"/>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Média/zařízení, na nichž jsou osobní údaje uloženy, jsou skladována a archivována pouze po nezbytně nutnou dobu (zásada minimalizace).</w:t>
      </w:r>
    </w:p>
    <w:p w14:paraId="50064972" w14:textId="77777777" w:rsidR="000C48A7" w:rsidRPr="0077661C" w:rsidRDefault="000C48A7" w:rsidP="000C48A7">
      <w:pPr>
        <w:pStyle w:val="Nadpis1"/>
        <w:numPr>
          <w:ilvl w:val="0"/>
          <w:numId w:val="1"/>
        </w:numPr>
        <w:tabs>
          <w:tab w:val="clear" w:pos="360"/>
          <w:tab w:val="clear" w:pos="426"/>
          <w:tab w:val="left" w:pos="284"/>
        </w:tabs>
        <w:spacing w:before="360" w:after="0"/>
        <w:ind w:left="284" w:hanging="284"/>
        <w:rPr>
          <w:rFonts w:ascii="Times New Roman" w:hAnsi="Times New Roman"/>
          <w:szCs w:val="24"/>
        </w:rPr>
      </w:pPr>
      <w:bookmarkStart w:id="31" w:name="_Toc237151089"/>
      <w:bookmarkStart w:id="32" w:name="_Toc276715668"/>
      <w:r w:rsidRPr="0077661C">
        <w:rPr>
          <w:rFonts w:ascii="Times New Roman" w:hAnsi="Times New Roman"/>
          <w:szCs w:val="24"/>
        </w:rPr>
        <w:t>Přílohy</w:t>
      </w:r>
      <w:bookmarkEnd w:id="31"/>
      <w:bookmarkEnd w:id="32"/>
    </w:p>
    <w:p w14:paraId="1C3C8663" w14:textId="77777777" w:rsidR="000C48A7" w:rsidRPr="0077661C" w:rsidRDefault="000C48A7" w:rsidP="000C48A7">
      <w:pPr>
        <w:pStyle w:val="Zkladntext"/>
        <w:tabs>
          <w:tab w:val="right" w:pos="9070"/>
        </w:tabs>
        <w:spacing w:before="20"/>
        <w:ind w:left="1191" w:hanging="1191"/>
        <w:rPr>
          <w:rFonts w:ascii="Times New Roman" w:hAnsi="Times New Roman"/>
          <w:noProof/>
          <w:sz w:val="24"/>
          <w:szCs w:val="24"/>
        </w:rPr>
      </w:pPr>
      <w:r w:rsidRPr="0077661C">
        <w:rPr>
          <w:rFonts w:ascii="Times New Roman" w:hAnsi="Times New Roman"/>
          <w:noProof/>
          <w:sz w:val="24"/>
          <w:szCs w:val="24"/>
        </w:rPr>
        <w:t xml:space="preserve">Příloha č. 1: </w:t>
      </w:r>
      <w:r w:rsidRPr="0077661C">
        <w:rPr>
          <w:rFonts w:ascii="Times New Roman" w:hAnsi="Times New Roman"/>
          <w:sz w:val="24"/>
          <w:szCs w:val="24"/>
        </w:rPr>
        <w:t>Katalog rizik</w:t>
      </w:r>
      <w:r w:rsidRPr="0077661C">
        <w:rPr>
          <w:rFonts w:ascii="Times New Roman" w:hAnsi="Times New Roman"/>
          <w:noProof/>
          <w:sz w:val="24"/>
          <w:szCs w:val="24"/>
        </w:rPr>
        <w:tab/>
      </w:r>
    </w:p>
    <w:p w14:paraId="58FC53FD" w14:textId="77777777" w:rsidR="000C48A7" w:rsidRPr="0077661C" w:rsidRDefault="000C48A7" w:rsidP="000C48A7">
      <w:pPr>
        <w:pStyle w:val="Zkladntext"/>
        <w:tabs>
          <w:tab w:val="right" w:pos="9070"/>
        </w:tabs>
        <w:spacing w:before="20"/>
        <w:ind w:left="1191" w:hanging="1191"/>
        <w:rPr>
          <w:rFonts w:ascii="Times New Roman" w:hAnsi="Times New Roman"/>
          <w:sz w:val="24"/>
          <w:szCs w:val="24"/>
        </w:rPr>
      </w:pPr>
      <w:r w:rsidRPr="0077661C">
        <w:rPr>
          <w:rFonts w:ascii="Times New Roman" w:hAnsi="Times New Roman"/>
          <w:noProof/>
          <w:sz w:val="24"/>
          <w:szCs w:val="24"/>
        </w:rPr>
        <w:lastRenderedPageBreak/>
        <w:t xml:space="preserve">Příloha č. 2: </w:t>
      </w:r>
      <w:r w:rsidRPr="0077661C">
        <w:rPr>
          <w:rFonts w:ascii="Times New Roman" w:hAnsi="Times New Roman"/>
          <w:sz w:val="24"/>
          <w:szCs w:val="24"/>
        </w:rPr>
        <w:t>Plán eliminace rizik při vedení dokument</w:t>
      </w:r>
      <w:r w:rsidR="00994BA8" w:rsidRPr="0077661C">
        <w:rPr>
          <w:rFonts w:ascii="Times New Roman" w:hAnsi="Times New Roman"/>
          <w:sz w:val="24"/>
          <w:szCs w:val="24"/>
        </w:rPr>
        <w:t xml:space="preserve">ů </w:t>
      </w:r>
      <w:r w:rsidRPr="0077661C">
        <w:rPr>
          <w:rFonts w:ascii="Times New Roman" w:hAnsi="Times New Roman"/>
          <w:sz w:val="24"/>
          <w:szCs w:val="24"/>
        </w:rPr>
        <w:t xml:space="preserve">v elektronické podobě </w:t>
      </w:r>
    </w:p>
    <w:p w14:paraId="632EEA73" w14:textId="77777777" w:rsidR="000C48A7" w:rsidRPr="0077661C" w:rsidRDefault="000C48A7" w:rsidP="000C48A7">
      <w:pPr>
        <w:rPr>
          <w:rFonts w:ascii="Times New Roman" w:hAnsi="Times New Roman"/>
          <w:sz w:val="24"/>
          <w:szCs w:val="24"/>
        </w:rPr>
      </w:pPr>
      <w:r w:rsidRPr="0077661C">
        <w:rPr>
          <w:rFonts w:ascii="Times New Roman" w:hAnsi="Times New Roman"/>
          <w:noProof/>
          <w:sz w:val="24"/>
          <w:szCs w:val="24"/>
        </w:rPr>
        <w:t xml:space="preserve">Příloha č. 3: </w:t>
      </w:r>
      <w:r w:rsidRPr="0077661C">
        <w:rPr>
          <w:rFonts w:ascii="Times New Roman" w:hAnsi="Times New Roman"/>
          <w:sz w:val="24"/>
          <w:szCs w:val="24"/>
        </w:rPr>
        <w:t>Plán eliminace rizik při vedení dokument</w:t>
      </w:r>
      <w:r w:rsidR="00994BA8" w:rsidRPr="0077661C">
        <w:rPr>
          <w:rFonts w:ascii="Times New Roman" w:hAnsi="Times New Roman"/>
          <w:sz w:val="24"/>
          <w:szCs w:val="24"/>
        </w:rPr>
        <w:t>ů</w:t>
      </w:r>
      <w:r w:rsidRPr="0077661C">
        <w:rPr>
          <w:rFonts w:ascii="Times New Roman" w:hAnsi="Times New Roman"/>
          <w:sz w:val="24"/>
          <w:szCs w:val="24"/>
        </w:rPr>
        <w:t xml:space="preserve"> v listinné podobě</w:t>
      </w:r>
    </w:p>
    <w:p w14:paraId="19E519F1" w14:textId="77777777" w:rsidR="000C48A7" w:rsidRPr="0077661C" w:rsidRDefault="000C48A7" w:rsidP="000C48A7">
      <w:pPr>
        <w:rPr>
          <w:rFonts w:ascii="Times New Roman" w:hAnsi="Times New Roman"/>
          <w:sz w:val="24"/>
          <w:szCs w:val="24"/>
        </w:rPr>
      </w:pPr>
      <w:r w:rsidRPr="0077661C">
        <w:rPr>
          <w:rFonts w:ascii="Times New Roman" w:hAnsi="Times New Roman"/>
          <w:noProof/>
          <w:sz w:val="24"/>
          <w:szCs w:val="24"/>
        </w:rPr>
        <w:t xml:space="preserve">Příloha č. 4: </w:t>
      </w:r>
      <w:r w:rsidRPr="0077661C">
        <w:rPr>
          <w:rFonts w:ascii="Times New Roman" w:hAnsi="Times New Roman"/>
          <w:sz w:val="24"/>
          <w:szCs w:val="24"/>
        </w:rPr>
        <w:t>Plán eliminace rizik při správě osobních údajů</w:t>
      </w:r>
    </w:p>
    <w:p w14:paraId="0520F611" w14:textId="77777777" w:rsidR="000C48A7" w:rsidRPr="0077661C" w:rsidRDefault="000C48A7" w:rsidP="000C48A7">
      <w:pPr>
        <w:rPr>
          <w:rFonts w:ascii="Times New Roman" w:hAnsi="Times New Roman"/>
          <w:sz w:val="24"/>
          <w:szCs w:val="24"/>
        </w:rPr>
      </w:pPr>
      <w:r w:rsidRPr="0077661C">
        <w:rPr>
          <w:rFonts w:ascii="Times New Roman" w:hAnsi="Times New Roman"/>
          <w:noProof/>
          <w:sz w:val="24"/>
          <w:szCs w:val="24"/>
        </w:rPr>
        <w:t xml:space="preserve">Příloha č. 5: </w:t>
      </w:r>
      <w:r w:rsidRPr="0077661C">
        <w:rPr>
          <w:rFonts w:ascii="Times New Roman" w:hAnsi="Times New Roman"/>
          <w:sz w:val="24"/>
          <w:szCs w:val="24"/>
        </w:rPr>
        <w:t>Plán eliminace rizik při použití mobilní výpočetní techniky</w:t>
      </w:r>
      <w:bookmarkStart w:id="33" w:name="_Ref103151039"/>
      <w:r w:rsidRPr="0077661C">
        <w:rPr>
          <w:rFonts w:ascii="Times New Roman" w:hAnsi="Times New Roman"/>
          <w:sz w:val="24"/>
          <w:szCs w:val="24"/>
        </w:rPr>
        <w:tab/>
      </w:r>
    </w:p>
    <w:p w14:paraId="5C8C908A" w14:textId="77777777" w:rsidR="000C48A7" w:rsidRPr="0077661C" w:rsidRDefault="000C48A7" w:rsidP="000C48A7">
      <w:pPr>
        <w:pStyle w:val="Nadpis2"/>
        <w:pageBreakBefore/>
        <w:tabs>
          <w:tab w:val="left" w:pos="1560"/>
        </w:tabs>
        <w:spacing w:before="0" w:after="120"/>
        <w:ind w:left="1418" w:hanging="1418"/>
        <w:rPr>
          <w:rFonts w:ascii="Times New Roman" w:hAnsi="Times New Roman"/>
          <w:bCs/>
          <w:szCs w:val="24"/>
        </w:rPr>
      </w:pPr>
      <w:bookmarkStart w:id="34" w:name="_Příloha_č._1:_Formulář_k_provedení_"/>
      <w:bookmarkStart w:id="35" w:name="_Příloha_č._1:"/>
      <w:bookmarkStart w:id="36" w:name="_Ref143048925"/>
      <w:bookmarkStart w:id="37" w:name="_Ref184446106"/>
      <w:bookmarkStart w:id="38" w:name="_Ref194993386"/>
      <w:bookmarkStart w:id="39" w:name="_Toc237151090"/>
      <w:bookmarkStart w:id="40" w:name="_Toc276715669"/>
      <w:bookmarkEnd w:id="34"/>
      <w:bookmarkEnd w:id="35"/>
      <w:r w:rsidRPr="0077661C">
        <w:rPr>
          <w:rFonts w:ascii="Times New Roman" w:hAnsi="Times New Roman"/>
          <w:bCs/>
          <w:szCs w:val="24"/>
        </w:rPr>
        <w:lastRenderedPageBreak/>
        <w:t>Příloha č. 1:</w:t>
      </w:r>
      <w:bookmarkEnd w:id="36"/>
      <w:r w:rsidRPr="0077661C">
        <w:rPr>
          <w:rFonts w:ascii="Times New Roman" w:hAnsi="Times New Roman"/>
          <w:bCs/>
          <w:szCs w:val="24"/>
        </w:rPr>
        <w:tab/>
      </w:r>
      <w:bookmarkEnd w:id="37"/>
      <w:bookmarkEnd w:id="38"/>
      <w:bookmarkEnd w:id="39"/>
      <w:r w:rsidRPr="0077661C">
        <w:rPr>
          <w:rFonts w:ascii="Times New Roman" w:hAnsi="Times New Roman"/>
          <w:bCs/>
          <w:szCs w:val="24"/>
        </w:rPr>
        <w:t xml:space="preserve">Katalog rizik </w:t>
      </w:r>
      <w:bookmarkEnd w:id="40"/>
    </w:p>
    <w:p w14:paraId="1791D7FA" w14:textId="77777777" w:rsidR="000C48A7" w:rsidRPr="0077661C" w:rsidRDefault="000C48A7" w:rsidP="000C48A7">
      <w:pPr>
        <w:tabs>
          <w:tab w:val="left" w:pos="1276"/>
        </w:tabs>
        <w:spacing w:before="180" w:after="120"/>
        <w:rPr>
          <w:rFonts w:ascii="Times New Roman" w:hAnsi="Times New Roman"/>
          <w:b/>
          <w:kern w:val="28"/>
          <w:sz w:val="24"/>
          <w:szCs w:val="24"/>
        </w:rPr>
      </w:pPr>
      <w:r w:rsidRPr="0077661C">
        <w:rPr>
          <w:rFonts w:ascii="Times New Roman" w:hAnsi="Times New Roman"/>
          <w:bCs/>
          <w:kern w:val="28"/>
          <w:sz w:val="24"/>
          <w:szCs w:val="24"/>
        </w:rPr>
        <w:tab/>
      </w:r>
      <w:r w:rsidRPr="0077661C">
        <w:rPr>
          <w:rFonts w:ascii="Times New Roman" w:hAnsi="Times New Roman"/>
          <w:b/>
          <w:kern w:val="28"/>
          <w:sz w:val="24"/>
          <w:szCs w:val="24"/>
        </w:rPr>
        <w:t xml:space="preserve"> </w:t>
      </w:r>
    </w:p>
    <w:tbl>
      <w:tblPr>
        <w:tblStyle w:val="Mkatabulky"/>
        <w:tblW w:w="0" w:type="auto"/>
        <w:tblLook w:val="04A0" w:firstRow="1" w:lastRow="0" w:firstColumn="1" w:lastColumn="0" w:noHBand="0" w:noVBand="1"/>
      </w:tblPr>
      <w:tblGrid>
        <w:gridCol w:w="4530"/>
        <w:gridCol w:w="4530"/>
      </w:tblGrid>
      <w:tr w:rsidR="0077661C" w:rsidRPr="0077661C" w14:paraId="6AFBFB76" w14:textId="77777777" w:rsidTr="001D339A">
        <w:tc>
          <w:tcPr>
            <w:tcW w:w="4530" w:type="dxa"/>
          </w:tcPr>
          <w:p w14:paraId="51173D21" w14:textId="77777777" w:rsidR="000C48A7" w:rsidRPr="0077661C" w:rsidRDefault="000C48A7" w:rsidP="001D339A">
            <w:pPr>
              <w:tabs>
                <w:tab w:val="left" w:pos="1276"/>
              </w:tabs>
              <w:spacing w:before="180" w:after="120"/>
              <w:rPr>
                <w:b/>
                <w:kern w:val="28"/>
                <w:sz w:val="24"/>
                <w:szCs w:val="24"/>
              </w:rPr>
            </w:pPr>
            <w:r w:rsidRPr="0077661C">
              <w:rPr>
                <w:b/>
                <w:kern w:val="28"/>
                <w:sz w:val="24"/>
                <w:szCs w:val="24"/>
              </w:rPr>
              <w:t xml:space="preserve">                    Druh hrozby </w:t>
            </w:r>
          </w:p>
        </w:tc>
        <w:tc>
          <w:tcPr>
            <w:tcW w:w="4530" w:type="dxa"/>
          </w:tcPr>
          <w:p w14:paraId="0390F462" w14:textId="77777777" w:rsidR="000C48A7" w:rsidRPr="0077661C" w:rsidRDefault="000C48A7" w:rsidP="001D339A">
            <w:pPr>
              <w:tabs>
                <w:tab w:val="left" w:pos="1276"/>
              </w:tabs>
              <w:spacing w:before="180" w:after="120"/>
              <w:rPr>
                <w:b/>
                <w:kern w:val="28"/>
                <w:sz w:val="24"/>
                <w:szCs w:val="24"/>
              </w:rPr>
            </w:pPr>
            <w:r w:rsidRPr="0077661C">
              <w:rPr>
                <w:b/>
                <w:kern w:val="28"/>
                <w:sz w:val="24"/>
                <w:szCs w:val="24"/>
              </w:rPr>
              <w:t xml:space="preserve">Možné příčiny vzniku </w:t>
            </w:r>
          </w:p>
        </w:tc>
      </w:tr>
      <w:tr w:rsidR="0077661C" w:rsidRPr="0077661C" w14:paraId="40CF38D7" w14:textId="77777777" w:rsidTr="001D339A">
        <w:tc>
          <w:tcPr>
            <w:tcW w:w="4530" w:type="dxa"/>
          </w:tcPr>
          <w:p w14:paraId="5FEACFFB" w14:textId="77777777" w:rsidR="000C48A7" w:rsidRPr="0077661C" w:rsidRDefault="000C48A7" w:rsidP="001D339A">
            <w:pPr>
              <w:tabs>
                <w:tab w:val="left" w:pos="1276"/>
              </w:tabs>
              <w:spacing w:before="180" w:after="120"/>
              <w:rPr>
                <w:sz w:val="24"/>
                <w:szCs w:val="24"/>
              </w:rPr>
            </w:pPr>
            <w:r w:rsidRPr="0077661C">
              <w:rPr>
                <w:sz w:val="24"/>
                <w:szCs w:val="24"/>
              </w:rPr>
              <w:t>Narušení důvěrnosti údajů</w:t>
            </w:r>
          </w:p>
          <w:p w14:paraId="4E39C299" w14:textId="77777777" w:rsidR="000C48A7" w:rsidRPr="0077661C" w:rsidRDefault="000C48A7" w:rsidP="001D339A">
            <w:pPr>
              <w:tabs>
                <w:tab w:val="left" w:pos="1276"/>
              </w:tabs>
              <w:spacing w:before="180" w:after="120"/>
              <w:rPr>
                <w:b/>
                <w:i/>
                <w:kern w:val="28"/>
                <w:sz w:val="24"/>
                <w:szCs w:val="24"/>
              </w:rPr>
            </w:pPr>
            <w:r w:rsidRPr="0077661C">
              <w:rPr>
                <w:i/>
                <w:sz w:val="24"/>
                <w:szCs w:val="24"/>
              </w:rPr>
              <w:t xml:space="preserve">(s údaji </w:t>
            </w:r>
            <w:r w:rsidR="00F26E09" w:rsidRPr="0077661C">
              <w:rPr>
                <w:i/>
                <w:sz w:val="24"/>
                <w:szCs w:val="24"/>
              </w:rPr>
              <w:t xml:space="preserve">se </w:t>
            </w:r>
            <w:r w:rsidRPr="0077661C">
              <w:rPr>
                <w:i/>
                <w:sz w:val="24"/>
                <w:szCs w:val="24"/>
              </w:rPr>
              <w:t>seznámil někdo, kdo k tomu neměl oprávnění)</w:t>
            </w:r>
          </w:p>
        </w:tc>
        <w:tc>
          <w:tcPr>
            <w:tcW w:w="4530" w:type="dxa"/>
            <w:vAlign w:val="center"/>
          </w:tcPr>
          <w:p w14:paraId="18EB4F6F"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nedostatečné zabezpečení sítě</w:t>
            </w:r>
          </w:p>
          <w:p w14:paraId="165325BA"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prolomení přístupových práv uživatelů</w:t>
            </w:r>
          </w:p>
          <w:p w14:paraId="0EDB003A"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neexistence IT bezpečnostní strategie</w:t>
            </w:r>
          </w:p>
          <w:p w14:paraId="02A478A2"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nezabezpečení dat při výpadku informačních systémů</w:t>
            </w:r>
          </w:p>
          <w:p w14:paraId="7AB47DDE"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nedostatečné zabezpečení přenosu dat</w:t>
            </w:r>
          </w:p>
          <w:p w14:paraId="794DB57E"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nedostatečná antivirová ochrana</w:t>
            </w:r>
          </w:p>
          <w:p w14:paraId="35389FAE"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nedostatečné nastavení bezpečnosti IT infrastruktury</w:t>
            </w:r>
          </w:p>
          <w:p w14:paraId="5852A842"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 xml:space="preserve">možnost nahrávat data pacientů na nosiče (CD, DVD, </w:t>
            </w:r>
            <w:proofErr w:type="spellStart"/>
            <w:r w:rsidRPr="0077661C">
              <w:rPr>
                <w:color w:val="auto"/>
              </w:rPr>
              <w:t>flash</w:t>
            </w:r>
            <w:proofErr w:type="spellEnd"/>
            <w:r w:rsidRPr="0077661C">
              <w:rPr>
                <w:color w:val="auto"/>
              </w:rPr>
              <w:t xml:space="preserve"> disk, externí hard disk)</w:t>
            </w:r>
          </w:p>
          <w:p w14:paraId="760DC1D7"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 xml:space="preserve">nedodržování pravidel při předávání důvěrných informací </w:t>
            </w:r>
          </w:p>
          <w:p w14:paraId="08D25B75"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 xml:space="preserve">chybějící záznam souhlasu s poskytováním informací </w:t>
            </w:r>
          </w:p>
          <w:p w14:paraId="090B3ED8"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chybná volba vhodného místa pro předávání informací</w:t>
            </w:r>
          </w:p>
          <w:p w14:paraId="0F76A5CF" w14:textId="77777777" w:rsidR="000C48A7" w:rsidRPr="0077661C" w:rsidRDefault="000C48A7" w:rsidP="000C48A7">
            <w:pPr>
              <w:pStyle w:val="Default"/>
              <w:numPr>
                <w:ilvl w:val="0"/>
                <w:numId w:val="6"/>
              </w:numPr>
              <w:tabs>
                <w:tab w:val="clear" w:pos="4490"/>
              </w:tabs>
              <w:ind w:left="56" w:hanging="113"/>
              <w:rPr>
                <w:bCs/>
                <w:color w:val="auto"/>
              </w:rPr>
            </w:pPr>
            <w:r w:rsidRPr="0077661C">
              <w:rPr>
                <w:color w:val="auto"/>
              </w:rPr>
              <w:t>porušení povinnosti zachovávání mlčenlivosti</w:t>
            </w:r>
          </w:p>
          <w:p w14:paraId="55C3B8A9" w14:textId="77777777" w:rsidR="000C48A7" w:rsidRPr="0077661C" w:rsidRDefault="000C48A7" w:rsidP="000C48A7">
            <w:pPr>
              <w:pStyle w:val="Default"/>
              <w:numPr>
                <w:ilvl w:val="0"/>
                <w:numId w:val="6"/>
              </w:numPr>
              <w:tabs>
                <w:tab w:val="clear" w:pos="4490"/>
              </w:tabs>
              <w:ind w:left="56" w:hanging="113"/>
              <w:rPr>
                <w:bCs/>
                <w:color w:val="auto"/>
              </w:rPr>
            </w:pPr>
            <w:r w:rsidRPr="0077661C">
              <w:rPr>
                <w:color w:val="auto"/>
              </w:rPr>
              <w:t xml:space="preserve">únik dat ze systému </w:t>
            </w:r>
          </w:p>
          <w:p w14:paraId="509009A7" w14:textId="77777777" w:rsidR="000C48A7" w:rsidRPr="0077661C" w:rsidRDefault="000C48A7" w:rsidP="000C48A7">
            <w:pPr>
              <w:pStyle w:val="Default"/>
              <w:numPr>
                <w:ilvl w:val="0"/>
                <w:numId w:val="6"/>
              </w:numPr>
              <w:tabs>
                <w:tab w:val="clear" w:pos="4490"/>
              </w:tabs>
              <w:ind w:left="56" w:hanging="113"/>
              <w:rPr>
                <w:bCs/>
                <w:color w:val="auto"/>
              </w:rPr>
            </w:pPr>
            <w:r w:rsidRPr="0077661C">
              <w:rPr>
                <w:color w:val="auto"/>
              </w:rPr>
              <w:t>nezabezpečený přístup do papírové i elektronické dokumentace (volně přístupné kartotéky, klíče ve dveřích z vnější strany, neodhlášení se z PC atd.)</w:t>
            </w:r>
          </w:p>
        </w:tc>
      </w:tr>
      <w:tr w:rsidR="0077661C" w:rsidRPr="0077661C" w14:paraId="4DCB82F8" w14:textId="77777777" w:rsidTr="001D339A">
        <w:tc>
          <w:tcPr>
            <w:tcW w:w="4530" w:type="dxa"/>
          </w:tcPr>
          <w:p w14:paraId="68C45C88" w14:textId="77777777" w:rsidR="000C48A7" w:rsidRPr="0077661C" w:rsidRDefault="000C48A7" w:rsidP="001D339A">
            <w:pPr>
              <w:tabs>
                <w:tab w:val="left" w:pos="1276"/>
              </w:tabs>
              <w:spacing w:before="180" w:after="120"/>
              <w:rPr>
                <w:sz w:val="24"/>
                <w:szCs w:val="24"/>
              </w:rPr>
            </w:pPr>
            <w:r w:rsidRPr="0077661C">
              <w:rPr>
                <w:sz w:val="24"/>
                <w:szCs w:val="24"/>
              </w:rPr>
              <w:t>Narušení integrity údajů</w:t>
            </w:r>
          </w:p>
          <w:p w14:paraId="501EB1BC" w14:textId="77777777" w:rsidR="000C48A7" w:rsidRPr="0077661C" w:rsidRDefault="000C48A7" w:rsidP="001D339A">
            <w:pPr>
              <w:tabs>
                <w:tab w:val="left" w:pos="1276"/>
              </w:tabs>
              <w:spacing w:before="180" w:after="120"/>
              <w:rPr>
                <w:b/>
                <w:i/>
                <w:kern w:val="28"/>
                <w:sz w:val="24"/>
                <w:szCs w:val="24"/>
              </w:rPr>
            </w:pPr>
            <w:r w:rsidRPr="0077661C">
              <w:rPr>
                <w:i/>
                <w:sz w:val="24"/>
                <w:szCs w:val="24"/>
              </w:rPr>
              <w:t>(údaje byly pozměněny či upraveny)</w:t>
            </w:r>
          </w:p>
        </w:tc>
        <w:tc>
          <w:tcPr>
            <w:tcW w:w="4530" w:type="dxa"/>
          </w:tcPr>
          <w:p w14:paraId="44955B74" w14:textId="77777777" w:rsidR="000C48A7" w:rsidRPr="0077661C" w:rsidRDefault="000C48A7" w:rsidP="000C48A7">
            <w:pPr>
              <w:pStyle w:val="Default"/>
              <w:keepNext/>
              <w:numPr>
                <w:ilvl w:val="0"/>
                <w:numId w:val="6"/>
              </w:numPr>
              <w:tabs>
                <w:tab w:val="clear" w:pos="4490"/>
              </w:tabs>
              <w:ind w:left="56" w:hanging="113"/>
              <w:rPr>
                <w:color w:val="auto"/>
              </w:rPr>
            </w:pPr>
            <w:r w:rsidRPr="0077661C">
              <w:rPr>
                <w:color w:val="auto"/>
              </w:rPr>
              <w:t>provozování kritických prvků výpočetní techniky nad mez životnosti</w:t>
            </w:r>
          </w:p>
          <w:p w14:paraId="30E24908" w14:textId="77777777" w:rsidR="000C48A7" w:rsidRPr="0077661C" w:rsidRDefault="000C48A7" w:rsidP="000C48A7">
            <w:pPr>
              <w:pStyle w:val="Default"/>
              <w:keepNext/>
              <w:numPr>
                <w:ilvl w:val="0"/>
                <w:numId w:val="6"/>
              </w:numPr>
              <w:tabs>
                <w:tab w:val="clear" w:pos="4490"/>
              </w:tabs>
              <w:ind w:left="56" w:hanging="113"/>
              <w:rPr>
                <w:color w:val="auto"/>
              </w:rPr>
            </w:pPr>
            <w:r w:rsidRPr="0077661C">
              <w:rPr>
                <w:color w:val="auto"/>
              </w:rPr>
              <w:t>používání kritických prvků bez zabezpečení podpory</w:t>
            </w:r>
          </w:p>
          <w:p w14:paraId="74189437"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nedostatečné zabezpečení sítě</w:t>
            </w:r>
          </w:p>
          <w:p w14:paraId="6DFAF9CA"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prolomení přístupových práv uživatelů</w:t>
            </w:r>
          </w:p>
          <w:p w14:paraId="504DA54E"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neexistence IT bezpečnostní strategie</w:t>
            </w:r>
          </w:p>
        </w:tc>
      </w:tr>
      <w:tr w:rsidR="0077661C" w:rsidRPr="0077661C" w14:paraId="3E964317" w14:textId="77777777" w:rsidTr="001D339A">
        <w:tc>
          <w:tcPr>
            <w:tcW w:w="4530" w:type="dxa"/>
          </w:tcPr>
          <w:p w14:paraId="136C3193" w14:textId="77777777" w:rsidR="000C48A7" w:rsidRPr="0077661C" w:rsidRDefault="000C48A7" w:rsidP="001D339A">
            <w:pPr>
              <w:tabs>
                <w:tab w:val="left" w:pos="1276"/>
              </w:tabs>
              <w:spacing w:before="180" w:after="120"/>
              <w:rPr>
                <w:sz w:val="24"/>
                <w:szCs w:val="24"/>
              </w:rPr>
            </w:pPr>
            <w:r w:rsidRPr="0077661C">
              <w:rPr>
                <w:sz w:val="24"/>
                <w:szCs w:val="24"/>
              </w:rPr>
              <w:t>Narušení dostupnosti údajů</w:t>
            </w:r>
          </w:p>
          <w:p w14:paraId="38B680D6" w14:textId="77777777" w:rsidR="000C48A7" w:rsidRPr="0077661C" w:rsidRDefault="000C48A7" w:rsidP="001D339A">
            <w:pPr>
              <w:tabs>
                <w:tab w:val="left" w:pos="1276"/>
              </w:tabs>
              <w:spacing w:before="180" w:after="120"/>
              <w:rPr>
                <w:b/>
                <w:i/>
                <w:kern w:val="28"/>
                <w:sz w:val="24"/>
                <w:szCs w:val="24"/>
              </w:rPr>
            </w:pPr>
            <w:r w:rsidRPr="0077661C">
              <w:rPr>
                <w:i/>
                <w:sz w:val="24"/>
                <w:szCs w:val="24"/>
              </w:rPr>
              <w:t>(údaje sice existují, nelze je ale použít)</w:t>
            </w:r>
          </w:p>
        </w:tc>
        <w:tc>
          <w:tcPr>
            <w:tcW w:w="4530" w:type="dxa"/>
          </w:tcPr>
          <w:p w14:paraId="4C796091" w14:textId="77777777" w:rsidR="000C48A7" w:rsidRPr="0077661C" w:rsidRDefault="000C48A7" w:rsidP="000C48A7">
            <w:pPr>
              <w:pStyle w:val="Default"/>
              <w:numPr>
                <w:ilvl w:val="0"/>
                <w:numId w:val="6"/>
              </w:numPr>
              <w:tabs>
                <w:tab w:val="clear" w:pos="4490"/>
              </w:tabs>
              <w:ind w:left="56" w:hanging="113"/>
              <w:rPr>
                <w:bCs/>
                <w:color w:val="auto"/>
              </w:rPr>
            </w:pPr>
            <w:r w:rsidRPr="0077661C">
              <w:rPr>
                <w:color w:val="auto"/>
              </w:rPr>
              <w:t xml:space="preserve">fyzická ztráta </w:t>
            </w:r>
          </w:p>
          <w:p w14:paraId="677A77CF" w14:textId="77777777" w:rsidR="000C48A7" w:rsidRPr="0077661C" w:rsidRDefault="000C48A7" w:rsidP="000C48A7">
            <w:pPr>
              <w:pStyle w:val="Default"/>
              <w:keepNext/>
              <w:numPr>
                <w:ilvl w:val="0"/>
                <w:numId w:val="6"/>
              </w:numPr>
              <w:tabs>
                <w:tab w:val="clear" w:pos="4490"/>
              </w:tabs>
              <w:ind w:left="56" w:hanging="113"/>
              <w:rPr>
                <w:color w:val="auto"/>
              </w:rPr>
            </w:pPr>
            <w:r w:rsidRPr="0077661C">
              <w:rPr>
                <w:color w:val="auto"/>
              </w:rPr>
              <w:t>nedostatečné znalosti a kvalifikace personálu, selhání lidského činitele, nedostatečné proškolení uživatelů IS nebo správců, administrátorů IS</w:t>
            </w:r>
          </w:p>
          <w:p w14:paraId="605337EF" w14:textId="77777777" w:rsidR="000C48A7" w:rsidRPr="0077661C" w:rsidRDefault="000C48A7" w:rsidP="000C48A7">
            <w:pPr>
              <w:pStyle w:val="Default"/>
              <w:keepNext/>
              <w:numPr>
                <w:ilvl w:val="0"/>
                <w:numId w:val="6"/>
              </w:numPr>
              <w:tabs>
                <w:tab w:val="clear" w:pos="4490"/>
              </w:tabs>
              <w:ind w:left="56" w:hanging="113"/>
              <w:rPr>
                <w:color w:val="auto"/>
              </w:rPr>
            </w:pPr>
            <w:r w:rsidRPr="0077661C">
              <w:rPr>
                <w:color w:val="auto"/>
              </w:rPr>
              <w:t>porušení interních předpisů</w:t>
            </w:r>
          </w:p>
          <w:p w14:paraId="7395AFB3" w14:textId="77777777" w:rsidR="000C48A7" w:rsidRPr="0077661C" w:rsidRDefault="000C48A7" w:rsidP="000C48A7">
            <w:pPr>
              <w:pStyle w:val="Default"/>
              <w:keepNext/>
              <w:numPr>
                <w:ilvl w:val="0"/>
                <w:numId w:val="6"/>
              </w:numPr>
              <w:tabs>
                <w:tab w:val="clear" w:pos="4490"/>
              </w:tabs>
              <w:ind w:left="56" w:hanging="113"/>
              <w:rPr>
                <w:color w:val="auto"/>
              </w:rPr>
            </w:pPr>
            <w:r w:rsidRPr="0077661C">
              <w:rPr>
                <w:color w:val="auto"/>
              </w:rPr>
              <w:t>nekonzistence dat v důsledku chyb IS</w:t>
            </w:r>
          </w:p>
          <w:p w14:paraId="50826B19" w14:textId="77777777" w:rsidR="000C48A7" w:rsidRPr="0077661C" w:rsidRDefault="000C48A7" w:rsidP="000C48A7">
            <w:pPr>
              <w:pStyle w:val="Default"/>
              <w:keepNext/>
              <w:numPr>
                <w:ilvl w:val="0"/>
                <w:numId w:val="6"/>
              </w:numPr>
              <w:tabs>
                <w:tab w:val="clear" w:pos="4490"/>
              </w:tabs>
              <w:ind w:left="56" w:hanging="113"/>
              <w:rPr>
                <w:color w:val="auto"/>
              </w:rPr>
            </w:pPr>
            <w:r w:rsidRPr="0077661C">
              <w:rPr>
                <w:color w:val="auto"/>
              </w:rPr>
              <w:t>provozování kritických prvků výpočetní techniky nad mez životnosti</w:t>
            </w:r>
          </w:p>
          <w:p w14:paraId="36538EB3" w14:textId="77777777" w:rsidR="000C48A7" w:rsidRPr="0077661C" w:rsidRDefault="000C48A7" w:rsidP="001D339A">
            <w:pPr>
              <w:pStyle w:val="Default"/>
              <w:ind w:left="56"/>
              <w:rPr>
                <w:bCs/>
                <w:color w:val="auto"/>
              </w:rPr>
            </w:pPr>
          </w:p>
        </w:tc>
      </w:tr>
      <w:tr w:rsidR="0077661C" w:rsidRPr="0077661C" w14:paraId="10CF9427" w14:textId="77777777" w:rsidTr="001D339A">
        <w:tc>
          <w:tcPr>
            <w:tcW w:w="4530" w:type="dxa"/>
          </w:tcPr>
          <w:p w14:paraId="2598AFEF" w14:textId="77777777" w:rsidR="000C48A7" w:rsidRPr="0077661C" w:rsidRDefault="000C48A7" w:rsidP="001D339A">
            <w:pPr>
              <w:tabs>
                <w:tab w:val="left" w:pos="1276"/>
              </w:tabs>
              <w:spacing w:before="180" w:after="120"/>
              <w:rPr>
                <w:kern w:val="28"/>
                <w:sz w:val="24"/>
                <w:szCs w:val="24"/>
              </w:rPr>
            </w:pPr>
            <w:r w:rsidRPr="0077661C">
              <w:rPr>
                <w:kern w:val="28"/>
                <w:sz w:val="24"/>
                <w:szCs w:val="24"/>
              </w:rPr>
              <w:t>Ztráta údajů</w:t>
            </w:r>
          </w:p>
          <w:p w14:paraId="6DA230D9" w14:textId="77777777" w:rsidR="000C48A7" w:rsidRPr="0077661C" w:rsidRDefault="000C48A7" w:rsidP="001D339A">
            <w:pPr>
              <w:tabs>
                <w:tab w:val="left" w:pos="1276"/>
              </w:tabs>
              <w:spacing w:before="180" w:after="120"/>
              <w:rPr>
                <w:i/>
                <w:kern w:val="28"/>
                <w:sz w:val="24"/>
                <w:szCs w:val="24"/>
              </w:rPr>
            </w:pPr>
            <w:r w:rsidRPr="0077661C">
              <w:rPr>
                <w:i/>
                <w:sz w:val="24"/>
                <w:szCs w:val="24"/>
              </w:rPr>
              <w:t>(údaje byly nenávratně ztraceny)</w:t>
            </w:r>
          </w:p>
        </w:tc>
        <w:tc>
          <w:tcPr>
            <w:tcW w:w="4530" w:type="dxa"/>
            <w:vAlign w:val="center"/>
          </w:tcPr>
          <w:p w14:paraId="0238EA8C"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 xml:space="preserve">nezabezpečení při výpadku informačních systémů (serverů) </w:t>
            </w:r>
          </w:p>
          <w:p w14:paraId="5C8ABE1F"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nedostatečná antivirová ochrana</w:t>
            </w:r>
          </w:p>
          <w:p w14:paraId="51AC8D1F"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nedostatečná kontrola</w:t>
            </w:r>
          </w:p>
          <w:p w14:paraId="63AEB148"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lastRenderedPageBreak/>
              <w:t>nedostatečné nastavení bezpečnosti IT infrastruktury</w:t>
            </w:r>
          </w:p>
          <w:p w14:paraId="3FD3FAE3"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chybné nastavení IS</w:t>
            </w:r>
          </w:p>
          <w:p w14:paraId="424CA73D"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nedostatečné znalosti a kvalifikace personálu, uživatelů IS</w:t>
            </w:r>
          </w:p>
          <w:p w14:paraId="11B8A1A9"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počítače, výpočetní a archivační technika používaná nad mez životnosti</w:t>
            </w:r>
          </w:p>
          <w:p w14:paraId="731E8358"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nedostatečná kontrola</w:t>
            </w:r>
          </w:p>
          <w:p w14:paraId="74A1B496"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nebezpečí krádeže, nedostatečný režim uložení přístupových klíčů</w:t>
            </w:r>
          </w:p>
          <w:p w14:paraId="7A99D4CD"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 xml:space="preserve">nedostatečná kontrola vhodnosti prostředí pro IT </w:t>
            </w:r>
          </w:p>
          <w:p w14:paraId="7A85B57B"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nebezpečí vzniku požáru</w:t>
            </w:r>
          </w:p>
          <w:p w14:paraId="76901702" w14:textId="77777777" w:rsidR="000C48A7" w:rsidRPr="0077661C" w:rsidRDefault="000C48A7" w:rsidP="000C48A7">
            <w:pPr>
              <w:pStyle w:val="Default"/>
              <w:numPr>
                <w:ilvl w:val="0"/>
                <w:numId w:val="6"/>
              </w:numPr>
              <w:tabs>
                <w:tab w:val="clear" w:pos="4490"/>
              </w:tabs>
              <w:ind w:left="56" w:hanging="113"/>
              <w:rPr>
                <w:color w:val="auto"/>
              </w:rPr>
            </w:pPr>
            <w:r w:rsidRPr="0077661C">
              <w:rPr>
                <w:color w:val="auto"/>
              </w:rPr>
              <w:t>zastarání techniky, datových médií</w:t>
            </w:r>
          </w:p>
        </w:tc>
      </w:tr>
    </w:tbl>
    <w:p w14:paraId="0673495B" w14:textId="77777777" w:rsidR="000C48A7" w:rsidRPr="0077661C" w:rsidRDefault="000C48A7" w:rsidP="000C48A7">
      <w:pPr>
        <w:pStyle w:val="Nadpis2"/>
        <w:pageBreakBefore/>
        <w:tabs>
          <w:tab w:val="left" w:pos="1418"/>
        </w:tabs>
        <w:spacing w:before="0" w:after="240"/>
        <w:ind w:left="1418" w:hanging="1418"/>
        <w:rPr>
          <w:rFonts w:ascii="Times New Roman" w:hAnsi="Times New Roman"/>
          <w:bCs/>
          <w:szCs w:val="24"/>
        </w:rPr>
      </w:pPr>
      <w:bookmarkStart w:id="41" w:name="_Příloha_č._2:_"/>
      <w:bookmarkStart w:id="42" w:name="_Příloha_č._2:"/>
      <w:bookmarkStart w:id="43" w:name="_Příloha_č._3:_"/>
      <w:bookmarkStart w:id="44" w:name="_Ref184446139"/>
      <w:bookmarkStart w:id="45" w:name="_Ref194993435"/>
      <w:bookmarkStart w:id="46" w:name="_Toc237151092"/>
      <w:bookmarkStart w:id="47" w:name="_Ref239745106"/>
      <w:bookmarkStart w:id="48" w:name="_Toc276715671"/>
      <w:bookmarkEnd w:id="41"/>
      <w:bookmarkEnd w:id="42"/>
      <w:bookmarkEnd w:id="43"/>
      <w:r w:rsidRPr="0077661C">
        <w:rPr>
          <w:rFonts w:ascii="Times New Roman" w:hAnsi="Times New Roman"/>
          <w:bCs/>
          <w:szCs w:val="24"/>
        </w:rPr>
        <w:lastRenderedPageBreak/>
        <w:t>Příloha č. 2:</w:t>
      </w:r>
      <w:r w:rsidRPr="0077661C">
        <w:rPr>
          <w:rFonts w:ascii="Times New Roman" w:hAnsi="Times New Roman"/>
          <w:bCs/>
          <w:szCs w:val="24"/>
        </w:rPr>
        <w:tab/>
      </w:r>
      <w:bookmarkStart w:id="49" w:name="_Příloha_č._3:"/>
      <w:bookmarkEnd w:id="33"/>
      <w:bookmarkEnd w:id="44"/>
      <w:bookmarkEnd w:id="45"/>
      <w:bookmarkEnd w:id="46"/>
      <w:bookmarkEnd w:id="47"/>
      <w:bookmarkEnd w:id="48"/>
      <w:bookmarkEnd w:id="49"/>
    </w:p>
    <w:p w14:paraId="0FD1C97B" w14:textId="77777777" w:rsidR="000C48A7" w:rsidRPr="0077661C" w:rsidRDefault="000C48A7" w:rsidP="000C48A7">
      <w:pPr>
        <w:rPr>
          <w:rFonts w:ascii="Times New Roman" w:hAnsi="Times New Roman"/>
          <w:b/>
          <w:sz w:val="24"/>
          <w:szCs w:val="24"/>
        </w:rPr>
      </w:pPr>
      <w:r w:rsidRPr="0077661C">
        <w:rPr>
          <w:rFonts w:ascii="Times New Roman" w:hAnsi="Times New Roman"/>
          <w:b/>
          <w:sz w:val="24"/>
          <w:szCs w:val="24"/>
        </w:rPr>
        <w:t>Plán eliminace rizik při vedení dokument</w:t>
      </w:r>
      <w:r w:rsidR="00893985" w:rsidRPr="0077661C">
        <w:rPr>
          <w:rFonts w:ascii="Times New Roman" w:hAnsi="Times New Roman"/>
          <w:b/>
          <w:sz w:val="24"/>
          <w:szCs w:val="24"/>
        </w:rPr>
        <w:t>ů</w:t>
      </w:r>
      <w:r w:rsidRPr="0077661C">
        <w:rPr>
          <w:rFonts w:ascii="Times New Roman" w:hAnsi="Times New Roman"/>
          <w:b/>
          <w:sz w:val="24"/>
          <w:szCs w:val="24"/>
        </w:rPr>
        <w:t xml:space="preserve"> v elektronické podobě</w:t>
      </w:r>
    </w:p>
    <w:p w14:paraId="7E2B279B" w14:textId="77777777" w:rsidR="000C48A7" w:rsidRPr="0077661C" w:rsidRDefault="000C48A7" w:rsidP="000C48A7">
      <w:pPr>
        <w:rPr>
          <w:rFonts w:ascii="Times New Roman" w:hAnsi="Times New Roman"/>
          <w:sz w:val="24"/>
          <w:szCs w:val="24"/>
        </w:rPr>
      </w:pPr>
    </w:p>
    <w:p w14:paraId="589B60CA" w14:textId="77777777" w:rsidR="000C48A7" w:rsidRPr="0077661C" w:rsidRDefault="000C48A7" w:rsidP="000C48A7">
      <w:pPr>
        <w:jc w:val="both"/>
        <w:rPr>
          <w:rFonts w:ascii="Times New Roman" w:hAnsi="Times New Roman"/>
          <w:sz w:val="24"/>
          <w:szCs w:val="24"/>
        </w:rPr>
      </w:pPr>
      <w:r w:rsidRPr="0077661C">
        <w:rPr>
          <w:rFonts w:ascii="Times New Roman" w:hAnsi="Times New Roman"/>
          <w:sz w:val="24"/>
          <w:szCs w:val="24"/>
        </w:rPr>
        <w:t xml:space="preserve">Povinnosti jednotlivých zaměstnanců, které souvisejí s bezpečností a nakládání s daty a elektronickými dokumenty: </w:t>
      </w:r>
    </w:p>
    <w:p w14:paraId="5BDD0C68" w14:textId="77777777" w:rsidR="000C48A7" w:rsidRPr="0077661C" w:rsidRDefault="000C48A7" w:rsidP="000C48A7">
      <w:pPr>
        <w:jc w:val="both"/>
        <w:rPr>
          <w:rFonts w:ascii="Times New Roman" w:hAnsi="Times New Roman"/>
          <w:sz w:val="24"/>
          <w:szCs w:val="24"/>
        </w:rPr>
      </w:pPr>
    </w:p>
    <w:p w14:paraId="4A31E89E" w14:textId="77777777" w:rsidR="00893985" w:rsidRPr="0077661C" w:rsidRDefault="000C48A7" w:rsidP="000C48A7">
      <w:pPr>
        <w:pStyle w:val="Odstavecseseznamem"/>
        <w:numPr>
          <w:ilvl w:val="0"/>
          <w:numId w:val="7"/>
        </w:numPr>
        <w:jc w:val="both"/>
        <w:rPr>
          <w:rFonts w:ascii="Times New Roman" w:hAnsi="Times New Roman" w:cs="Times New Roman"/>
          <w:sz w:val="24"/>
          <w:szCs w:val="24"/>
        </w:rPr>
      </w:pPr>
      <w:r w:rsidRPr="0077661C">
        <w:rPr>
          <w:rFonts w:ascii="Times New Roman" w:hAnsi="Times New Roman" w:cs="Times New Roman"/>
          <w:sz w:val="24"/>
          <w:szCs w:val="24"/>
        </w:rPr>
        <w:t>při zpracovávání informací pomocí výpočetní techniky musí být především zabezpečena ochrana všech dat uložených na pevném disku počítače, přičemž se zde uplatňuje vždy ochrana heslem a stanovením rozsahu jednotlivých přístupových oprávnění v souladu s pracovní náplní toho konkrétního zaměstnance</w:t>
      </w:r>
    </w:p>
    <w:p w14:paraId="77B5D262" w14:textId="77777777" w:rsidR="000C48A7" w:rsidRPr="0077661C" w:rsidRDefault="000C48A7" w:rsidP="000C48A7">
      <w:pPr>
        <w:pStyle w:val="Odstavecseseznamem"/>
        <w:numPr>
          <w:ilvl w:val="0"/>
          <w:numId w:val="7"/>
        </w:numPr>
        <w:jc w:val="both"/>
        <w:rPr>
          <w:rFonts w:ascii="Times New Roman" w:hAnsi="Times New Roman" w:cs="Times New Roman"/>
          <w:sz w:val="24"/>
          <w:szCs w:val="24"/>
        </w:rPr>
      </w:pPr>
      <w:r w:rsidRPr="0077661C">
        <w:rPr>
          <w:rFonts w:ascii="Times New Roman" w:hAnsi="Times New Roman" w:cs="Times New Roman"/>
          <w:sz w:val="24"/>
          <w:szCs w:val="24"/>
        </w:rPr>
        <w:t xml:space="preserve">rozsah přístupu k datům a informacím a oprávnění k jejich využívání, včetně změn, vkládání nebo případného vymazání dat, musí odpovídat obsahu pracovních povinností, které má zaměstnanec podle jeho pracovního zařazení a právním předpisům </w:t>
      </w:r>
    </w:p>
    <w:p w14:paraId="1554E367" w14:textId="77777777" w:rsidR="000C48A7" w:rsidRPr="0077661C" w:rsidRDefault="000C48A7" w:rsidP="000C48A7">
      <w:pPr>
        <w:pStyle w:val="Odstavecseseznamem"/>
        <w:numPr>
          <w:ilvl w:val="0"/>
          <w:numId w:val="7"/>
        </w:numPr>
        <w:jc w:val="both"/>
        <w:rPr>
          <w:rFonts w:ascii="Times New Roman" w:hAnsi="Times New Roman" w:cs="Times New Roman"/>
          <w:sz w:val="24"/>
          <w:szCs w:val="24"/>
        </w:rPr>
      </w:pPr>
      <w:r w:rsidRPr="0077661C">
        <w:rPr>
          <w:rFonts w:ascii="Times New Roman" w:hAnsi="Times New Roman" w:cs="Times New Roman"/>
          <w:sz w:val="24"/>
          <w:szCs w:val="24"/>
        </w:rPr>
        <w:t xml:space="preserve">za určení rozsahu přístupových práv každému zaměstnanci jako uživateli IT techniky a informačního systému odpovídá poskytovatel </w:t>
      </w:r>
    </w:p>
    <w:p w14:paraId="74A4AC2C" w14:textId="77777777" w:rsidR="000C48A7" w:rsidRPr="0077661C" w:rsidRDefault="000C48A7" w:rsidP="000C48A7">
      <w:pPr>
        <w:pStyle w:val="Odstavecseseznamem"/>
        <w:numPr>
          <w:ilvl w:val="0"/>
          <w:numId w:val="7"/>
        </w:numPr>
        <w:jc w:val="both"/>
        <w:rPr>
          <w:rFonts w:ascii="Times New Roman" w:hAnsi="Times New Roman" w:cs="Times New Roman"/>
          <w:sz w:val="24"/>
          <w:szCs w:val="24"/>
        </w:rPr>
      </w:pPr>
      <w:r w:rsidRPr="0077661C">
        <w:rPr>
          <w:rFonts w:ascii="Times New Roman" w:hAnsi="Times New Roman" w:cs="Times New Roman"/>
          <w:sz w:val="24"/>
          <w:szCs w:val="24"/>
        </w:rPr>
        <w:t>za samotné nastavení rozsahu přidělených přístupových práv každému zaměstnanci odpovídá správce IT</w:t>
      </w:r>
    </w:p>
    <w:p w14:paraId="6C6E184E" w14:textId="77777777" w:rsidR="000C48A7" w:rsidRPr="0077661C" w:rsidRDefault="000C48A7" w:rsidP="000C48A7">
      <w:pPr>
        <w:pStyle w:val="Odstavecseseznamem"/>
        <w:numPr>
          <w:ilvl w:val="0"/>
          <w:numId w:val="7"/>
        </w:numPr>
        <w:jc w:val="both"/>
        <w:rPr>
          <w:rFonts w:ascii="Times New Roman" w:hAnsi="Times New Roman" w:cs="Times New Roman"/>
          <w:sz w:val="24"/>
          <w:szCs w:val="24"/>
        </w:rPr>
      </w:pPr>
      <w:r w:rsidRPr="0077661C">
        <w:rPr>
          <w:rFonts w:ascii="Times New Roman" w:hAnsi="Times New Roman" w:cs="Times New Roman"/>
          <w:sz w:val="24"/>
          <w:szCs w:val="24"/>
        </w:rPr>
        <w:t>pro zálohování dat a archivaci vedených pomocí výpočetní techniky platí zvláštní předpis, přičemž ta data, která se nearchivují, musí být neustále a bezpečně zálohována do té doby, než dojde podle příslušného právního předpisu nebo dohody smluvních stran k jejich skartaci/zničení</w:t>
      </w:r>
    </w:p>
    <w:p w14:paraId="56A76025" w14:textId="77777777" w:rsidR="000C48A7" w:rsidRPr="0077661C" w:rsidRDefault="000C48A7" w:rsidP="000C48A7">
      <w:pPr>
        <w:jc w:val="both"/>
        <w:rPr>
          <w:rFonts w:ascii="Times New Roman" w:hAnsi="Times New Roman"/>
          <w:sz w:val="24"/>
          <w:szCs w:val="24"/>
        </w:rPr>
      </w:pPr>
    </w:p>
    <w:p w14:paraId="6E20565D" w14:textId="77777777" w:rsidR="000C48A7" w:rsidRPr="0077661C" w:rsidRDefault="000C48A7" w:rsidP="000C48A7">
      <w:pPr>
        <w:jc w:val="both"/>
        <w:rPr>
          <w:rFonts w:ascii="Times New Roman" w:hAnsi="Times New Roman"/>
          <w:sz w:val="24"/>
          <w:szCs w:val="24"/>
        </w:rPr>
      </w:pPr>
    </w:p>
    <w:p w14:paraId="699E0F57" w14:textId="77777777" w:rsidR="000C48A7" w:rsidRPr="0077661C" w:rsidRDefault="000C48A7" w:rsidP="000C48A7">
      <w:pPr>
        <w:jc w:val="both"/>
        <w:rPr>
          <w:rFonts w:ascii="Times New Roman" w:hAnsi="Times New Roman"/>
          <w:sz w:val="24"/>
          <w:szCs w:val="24"/>
        </w:rPr>
      </w:pPr>
    </w:p>
    <w:p w14:paraId="6FBF69A0" w14:textId="77777777" w:rsidR="000C48A7" w:rsidRPr="0077661C" w:rsidRDefault="000C48A7" w:rsidP="000C48A7">
      <w:pPr>
        <w:jc w:val="both"/>
        <w:rPr>
          <w:rFonts w:ascii="Times New Roman" w:hAnsi="Times New Roman"/>
          <w:sz w:val="24"/>
          <w:szCs w:val="24"/>
        </w:rPr>
      </w:pPr>
    </w:p>
    <w:p w14:paraId="1D4403FB" w14:textId="77777777" w:rsidR="000C48A7" w:rsidRPr="0077661C" w:rsidRDefault="000C48A7" w:rsidP="000C48A7">
      <w:pPr>
        <w:jc w:val="both"/>
        <w:rPr>
          <w:rFonts w:ascii="Times New Roman" w:hAnsi="Times New Roman"/>
          <w:sz w:val="24"/>
          <w:szCs w:val="24"/>
        </w:rPr>
      </w:pPr>
    </w:p>
    <w:p w14:paraId="55597A8A" w14:textId="77777777" w:rsidR="000C48A7" w:rsidRPr="0077661C" w:rsidRDefault="000C48A7" w:rsidP="000C48A7">
      <w:pPr>
        <w:rPr>
          <w:rFonts w:ascii="Times New Roman" w:hAnsi="Times New Roman"/>
          <w:sz w:val="24"/>
          <w:szCs w:val="24"/>
        </w:rPr>
      </w:pPr>
    </w:p>
    <w:p w14:paraId="64BEEF79" w14:textId="77777777" w:rsidR="000C48A7" w:rsidRPr="0077661C" w:rsidRDefault="000C48A7" w:rsidP="000C48A7">
      <w:pPr>
        <w:pStyle w:val="Nadpis2"/>
        <w:pageBreakBefore/>
        <w:tabs>
          <w:tab w:val="left" w:pos="1418"/>
        </w:tabs>
        <w:spacing w:before="0" w:after="240"/>
        <w:ind w:left="1418" w:hanging="1418"/>
        <w:rPr>
          <w:rFonts w:ascii="Times New Roman" w:hAnsi="Times New Roman"/>
          <w:bCs/>
          <w:szCs w:val="24"/>
        </w:rPr>
      </w:pPr>
      <w:r w:rsidRPr="0077661C">
        <w:rPr>
          <w:rFonts w:ascii="Times New Roman" w:hAnsi="Times New Roman"/>
          <w:bCs/>
          <w:szCs w:val="24"/>
        </w:rPr>
        <w:lastRenderedPageBreak/>
        <w:t>Příloha č. 3:</w:t>
      </w:r>
      <w:r w:rsidRPr="0077661C">
        <w:rPr>
          <w:rFonts w:ascii="Times New Roman" w:hAnsi="Times New Roman"/>
          <w:bCs/>
          <w:szCs w:val="24"/>
        </w:rPr>
        <w:tab/>
      </w:r>
    </w:p>
    <w:p w14:paraId="0BF5F204" w14:textId="77777777" w:rsidR="000C48A7" w:rsidRPr="0077661C" w:rsidRDefault="000C48A7" w:rsidP="000C48A7">
      <w:pPr>
        <w:jc w:val="both"/>
        <w:rPr>
          <w:rFonts w:ascii="Times New Roman" w:hAnsi="Times New Roman"/>
          <w:b/>
          <w:sz w:val="24"/>
          <w:szCs w:val="24"/>
        </w:rPr>
      </w:pPr>
      <w:r w:rsidRPr="0077661C">
        <w:rPr>
          <w:rFonts w:ascii="Times New Roman" w:hAnsi="Times New Roman"/>
          <w:b/>
          <w:sz w:val="24"/>
          <w:szCs w:val="24"/>
        </w:rPr>
        <w:t xml:space="preserve">Plán eliminace rizik při vedení </w:t>
      </w:r>
      <w:r w:rsidR="002B4345" w:rsidRPr="0077661C">
        <w:rPr>
          <w:rFonts w:ascii="Times New Roman" w:hAnsi="Times New Roman"/>
          <w:b/>
          <w:sz w:val="24"/>
          <w:szCs w:val="24"/>
        </w:rPr>
        <w:t>dokumentů</w:t>
      </w:r>
      <w:r w:rsidRPr="0077661C">
        <w:rPr>
          <w:rFonts w:ascii="Times New Roman" w:hAnsi="Times New Roman"/>
          <w:b/>
          <w:sz w:val="24"/>
          <w:szCs w:val="24"/>
        </w:rPr>
        <w:t xml:space="preserve"> v listinné podobě</w:t>
      </w:r>
    </w:p>
    <w:p w14:paraId="75523CFF" w14:textId="77777777" w:rsidR="000C48A7" w:rsidRPr="0077661C" w:rsidRDefault="000C48A7" w:rsidP="000C48A7">
      <w:pPr>
        <w:rPr>
          <w:rFonts w:ascii="Times New Roman" w:hAnsi="Times New Roman"/>
          <w:sz w:val="24"/>
          <w:szCs w:val="24"/>
        </w:rPr>
      </w:pPr>
    </w:p>
    <w:p w14:paraId="6EFAEFA8" w14:textId="77777777" w:rsidR="000C48A7" w:rsidRPr="0077661C" w:rsidRDefault="000C48A7" w:rsidP="000C48A7">
      <w:pPr>
        <w:jc w:val="both"/>
        <w:rPr>
          <w:rFonts w:ascii="Times New Roman" w:hAnsi="Times New Roman"/>
          <w:sz w:val="24"/>
          <w:szCs w:val="24"/>
        </w:rPr>
      </w:pPr>
      <w:r w:rsidRPr="0077661C">
        <w:rPr>
          <w:rFonts w:ascii="Times New Roman" w:hAnsi="Times New Roman"/>
          <w:sz w:val="24"/>
          <w:szCs w:val="24"/>
        </w:rPr>
        <w:t>Povinnosti jednotlivých zaměstnanců, které souvisejí s bezpečností a nakládání s daty a listinnými dokumenty:</w:t>
      </w:r>
    </w:p>
    <w:p w14:paraId="2BC8E4F6" w14:textId="77777777" w:rsidR="000C48A7" w:rsidRPr="0077661C" w:rsidRDefault="000C48A7" w:rsidP="000C48A7">
      <w:pPr>
        <w:pStyle w:val="Odstavecseseznamem"/>
        <w:numPr>
          <w:ilvl w:val="0"/>
          <w:numId w:val="8"/>
        </w:numPr>
        <w:jc w:val="both"/>
        <w:rPr>
          <w:rFonts w:ascii="Times New Roman" w:hAnsi="Times New Roman" w:cs="Times New Roman"/>
          <w:sz w:val="24"/>
          <w:szCs w:val="24"/>
        </w:rPr>
      </w:pPr>
      <w:r w:rsidRPr="0077661C">
        <w:rPr>
          <w:rFonts w:ascii="Times New Roman" w:hAnsi="Times New Roman" w:cs="Times New Roman"/>
          <w:sz w:val="24"/>
          <w:szCs w:val="24"/>
        </w:rPr>
        <w:t>rozsah přístupu k datům a informacím a oprávnění k jejich využívání, včetně změn, vkládání nebo případného vymazání dat, musí odpovídat obsahu pracovních povinností, které má zaměstnanec podle jeho pracovního zařazení a právních předpisů;</w:t>
      </w:r>
    </w:p>
    <w:p w14:paraId="55047E9E" w14:textId="77777777" w:rsidR="000C48A7" w:rsidRPr="0077661C" w:rsidRDefault="000C48A7" w:rsidP="000C48A7">
      <w:pPr>
        <w:pStyle w:val="Odstavecseseznamem"/>
        <w:numPr>
          <w:ilvl w:val="0"/>
          <w:numId w:val="8"/>
        </w:numPr>
        <w:jc w:val="both"/>
        <w:rPr>
          <w:rFonts w:ascii="Times New Roman" w:hAnsi="Times New Roman" w:cs="Times New Roman"/>
          <w:sz w:val="24"/>
          <w:szCs w:val="24"/>
        </w:rPr>
      </w:pPr>
      <w:r w:rsidRPr="0077661C">
        <w:rPr>
          <w:rFonts w:ascii="Times New Roman" w:hAnsi="Times New Roman" w:cs="Times New Roman"/>
          <w:sz w:val="24"/>
          <w:szCs w:val="24"/>
        </w:rPr>
        <w:t>dokument</w:t>
      </w:r>
      <w:r w:rsidR="003C683D" w:rsidRPr="0077661C">
        <w:rPr>
          <w:rFonts w:ascii="Times New Roman" w:hAnsi="Times New Roman" w:cs="Times New Roman"/>
          <w:sz w:val="24"/>
          <w:szCs w:val="24"/>
        </w:rPr>
        <w:t>y</w:t>
      </w:r>
      <w:r w:rsidRPr="0077661C">
        <w:rPr>
          <w:rFonts w:ascii="Times New Roman" w:hAnsi="Times New Roman" w:cs="Times New Roman"/>
          <w:sz w:val="24"/>
          <w:szCs w:val="24"/>
        </w:rPr>
        <w:t xml:space="preserve"> j</w:t>
      </w:r>
      <w:r w:rsidR="003C683D" w:rsidRPr="0077661C">
        <w:rPr>
          <w:rFonts w:ascii="Times New Roman" w:hAnsi="Times New Roman" w:cs="Times New Roman"/>
          <w:sz w:val="24"/>
          <w:szCs w:val="24"/>
        </w:rPr>
        <w:t>sou</w:t>
      </w:r>
      <w:r w:rsidRPr="0077661C">
        <w:rPr>
          <w:rFonts w:ascii="Times New Roman" w:hAnsi="Times New Roman" w:cs="Times New Roman"/>
          <w:sz w:val="24"/>
          <w:szCs w:val="24"/>
        </w:rPr>
        <w:t xml:space="preserve"> uchováván</w:t>
      </w:r>
      <w:r w:rsidR="003C683D" w:rsidRPr="0077661C">
        <w:rPr>
          <w:rFonts w:ascii="Times New Roman" w:hAnsi="Times New Roman" w:cs="Times New Roman"/>
          <w:sz w:val="24"/>
          <w:szCs w:val="24"/>
        </w:rPr>
        <w:t>y</w:t>
      </w:r>
      <w:r w:rsidRPr="0077661C">
        <w:rPr>
          <w:rFonts w:ascii="Times New Roman" w:hAnsi="Times New Roman" w:cs="Times New Roman"/>
          <w:sz w:val="24"/>
          <w:szCs w:val="24"/>
        </w:rPr>
        <w:t xml:space="preserve"> odděleně a je k n</w:t>
      </w:r>
      <w:r w:rsidR="003C683D" w:rsidRPr="0077661C">
        <w:rPr>
          <w:rFonts w:ascii="Times New Roman" w:hAnsi="Times New Roman" w:cs="Times New Roman"/>
          <w:sz w:val="24"/>
          <w:szCs w:val="24"/>
        </w:rPr>
        <w:t>im</w:t>
      </w:r>
      <w:r w:rsidRPr="0077661C">
        <w:rPr>
          <w:rFonts w:ascii="Times New Roman" w:hAnsi="Times New Roman" w:cs="Times New Roman"/>
          <w:sz w:val="24"/>
          <w:szCs w:val="24"/>
        </w:rPr>
        <w:t xml:space="preserve"> zajištěn pouze zabezpečený přístup (</w:t>
      </w:r>
      <w:r w:rsidR="003C683D" w:rsidRPr="0077661C">
        <w:rPr>
          <w:rFonts w:ascii="Times New Roman" w:hAnsi="Times New Roman" w:cs="Times New Roman"/>
          <w:sz w:val="24"/>
          <w:szCs w:val="24"/>
        </w:rPr>
        <w:t>prostor/skříň</w:t>
      </w:r>
      <w:r w:rsidRPr="0077661C">
        <w:rPr>
          <w:rFonts w:ascii="Times New Roman" w:hAnsi="Times New Roman" w:cs="Times New Roman"/>
          <w:sz w:val="24"/>
          <w:szCs w:val="24"/>
        </w:rPr>
        <w:t xml:space="preserve"> je uzamykateln</w:t>
      </w:r>
      <w:r w:rsidR="00483C84" w:rsidRPr="0077661C">
        <w:rPr>
          <w:rFonts w:ascii="Times New Roman" w:hAnsi="Times New Roman" w:cs="Times New Roman"/>
          <w:sz w:val="24"/>
          <w:szCs w:val="24"/>
        </w:rPr>
        <w:t>ý/</w:t>
      </w:r>
      <w:r w:rsidRPr="0077661C">
        <w:rPr>
          <w:rFonts w:ascii="Times New Roman" w:hAnsi="Times New Roman" w:cs="Times New Roman"/>
          <w:sz w:val="24"/>
          <w:szCs w:val="24"/>
        </w:rPr>
        <w:t xml:space="preserve">á nebo je pod stálým dohledem zaměstnance </w:t>
      </w:r>
      <w:r w:rsidR="00835B21" w:rsidRPr="0077661C">
        <w:rPr>
          <w:rFonts w:ascii="Times New Roman" w:hAnsi="Times New Roman" w:cs="Times New Roman"/>
          <w:sz w:val="24"/>
          <w:szCs w:val="24"/>
        </w:rPr>
        <w:t>správce</w:t>
      </w:r>
      <w:r w:rsidRPr="0077661C">
        <w:rPr>
          <w:rFonts w:ascii="Times New Roman" w:hAnsi="Times New Roman" w:cs="Times New Roman"/>
          <w:sz w:val="24"/>
          <w:szCs w:val="24"/>
        </w:rPr>
        <w:t>)</w:t>
      </w:r>
      <w:r w:rsidR="002B4345" w:rsidRPr="0077661C">
        <w:rPr>
          <w:rFonts w:ascii="Times New Roman" w:hAnsi="Times New Roman" w:cs="Times New Roman"/>
          <w:sz w:val="24"/>
          <w:szCs w:val="24"/>
        </w:rPr>
        <w:t>.</w:t>
      </w:r>
      <w:r w:rsidRPr="0077661C">
        <w:rPr>
          <w:rFonts w:ascii="Times New Roman" w:hAnsi="Times New Roman" w:cs="Times New Roman"/>
          <w:sz w:val="24"/>
          <w:szCs w:val="24"/>
        </w:rPr>
        <w:t xml:space="preserve"> </w:t>
      </w:r>
    </w:p>
    <w:p w14:paraId="287A57A7" w14:textId="77777777" w:rsidR="000C48A7" w:rsidRPr="0077661C" w:rsidRDefault="000C48A7" w:rsidP="000C48A7">
      <w:pPr>
        <w:rPr>
          <w:rFonts w:ascii="Times New Roman" w:hAnsi="Times New Roman"/>
          <w:sz w:val="24"/>
          <w:szCs w:val="24"/>
        </w:rPr>
      </w:pPr>
    </w:p>
    <w:p w14:paraId="78817CDA" w14:textId="77777777" w:rsidR="000C48A7" w:rsidRPr="0077661C" w:rsidRDefault="000C48A7" w:rsidP="000C48A7">
      <w:pPr>
        <w:rPr>
          <w:rFonts w:ascii="Times New Roman" w:hAnsi="Times New Roman"/>
          <w:sz w:val="24"/>
          <w:szCs w:val="24"/>
        </w:rPr>
      </w:pPr>
    </w:p>
    <w:p w14:paraId="1A9FB993" w14:textId="77777777" w:rsidR="000C48A7" w:rsidRPr="0077661C" w:rsidRDefault="000C48A7" w:rsidP="000C48A7">
      <w:pPr>
        <w:rPr>
          <w:rFonts w:ascii="Times New Roman" w:hAnsi="Times New Roman"/>
          <w:sz w:val="24"/>
          <w:szCs w:val="24"/>
        </w:rPr>
      </w:pPr>
    </w:p>
    <w:p w14:paraId="7C9EF1F9" w14:textId="77777777" w:rsidR="000C48A7" w:rsidRPr="0077661C" w:rsidRDefault="000C48A7" w:rsidP="000C48A7">
      <w:pPr>
        <w:rPr>
          <w:rFonts w:ascii="Times New Roman" w:hAnsi="Times New Roman"/>
          <w:sz w:val="24"/>
          <w:szCs w:val="24"/>
        </w:rPr>
      </w:pPr>
    </w:p>
    <w:p w14:paraId="78B5D8C9" w14:textId="77777777" w:rsidR="000C48A7" w:rsidRPr="0077661C" w:rsidRDefault="000C48A7" w:rsidP="000C48A7">
      <w:pPr>
        <w:rPr>
          <w:rFonts w:ascii="Times New Roman" w:hAnsi="Times New Roman"/>
          <w:sz w:val="24"/>
          <w:szCs w:val="24"/>
        </w:rPr>
      </w:pPr>
    </w:p>
    <w:p w14:paraId="734A969F" w14:textId="77777777" w:rsidR="000C48A7" w:rsidRPr="0077661C" w:rsidRDefault="000C48A7" w:rsidP="000C48A7">
      <w:pPr>
        <w:rPr>
          <w:rFonts w:ascii="Times New Roman" w:hAnsi="Times New Roman"/>
          <w:sz w:val="24"/>
          <w:szCs w:val="24"/>
        </w:rPr>
      </w:pPr>
    </w:p>
    <w:p w14:paraId="0F81387E" w14:textId="77777777" w:rsidR="000C48A7" w:rsidRPr="0077661C" w:rsidRDefault="000C48A7" w:rsidP="000C48A7">
      <w:pPr>
        <w:rPr>
          <w:rFonts w:ascii="Times New Roman" w:hAnsi="Times New Roman"/>
          <w:sz w:val="24"/>
          <w:szCs w:val="24"/>
        </w:rPr>
      </w:pPr>
    </w:p>
    <w:p w14:paraId="6B60EE72" w14:textId="77777777" w:rsidR="000C48A7" w:rsidRPr="0077661C" w:rsidRDefault="000C48A7" w:rsidP="000C48A7">
      <w:pPr>
        <w:rPr>
          <w:rFonts w:ascii="Times New Roman" w:hAnsi="Times New Roman"/>
          <w:sz w:val="24"/>
          <w:szCs w:val="24"/>
        </w:rPr>
      </w:pPr>
    </w:p>
    <w:p w14:paraId="00A87FDB" w14:textId="77777777" w:rsidR="000C48A7" w:rsidRPr="0077661C" w:rsidRDefault="000C48A7" w:rsidP="000C48A7">
      <w:pPr>
        <w:rPr>
          <w:rFonts w:ascii="Times New Roman" w:hAnsi="Times New Roman"/>
          <w:sz w:val="24"/>
          <w:szCs w:val="24"/>
        </w:rPr>
      </w:pPr>
    </w:p>
    <w:p w14:paraId="5B3DB286" w14:textId="77777777" w:rsidR="000C48A7" w:rsidRPr="0077661C" w:rsidRDefault="000C48A7" w:rsidP="000C48A7">
      <w:pPr>
        <w:rPr>
          <w:rFonts w:ascii="Times New Roman" w:hAnsi="Times New Roman"/>
          <w:sz w:val="24"/>
          <w:szCs w:val="24"/>
        </w:rPr>
      </w:pPr>
    </w:p>
    <w:p w14:paraId="68F6A0D6" w14:textId="77777777" w:rsidR="000C48A7" w:rsidRPr="0077661C" w:rsidRDefault="000C48A7" w:rsidP="000C48A7">
      <w:pPr>
        <w:rPr>
          <w:rFonts w:ascii="Times New Roman" w:hAnsi="Times New Roman"/>
          <w:sz w:val="24"/>
          <w:szCs w:val="24"/>
        </w:rPr>
      </w:pPr>
    </w:p>
    <w:p w14:paraId="58851519" w14:textId="77777777" w:rsidR="000C48A7" w:rsidRPr="0077661C" w:rsidRDefault="000C48A7" w:rsidP="000C48A7">
      <w:pPr>
        <w:rPr>
          <w:rFonts w:ascii="Times New Roman" w:hAnsi="Times New Roman"/>
          <w:sz w:val="24"/>
          <w:szCs w:val="24"/>
        </w:rPr>
      </w:pPr>
    </w:p>
    <w:p w14:paraId="04873461" w14:textId="77777777" w:rsidR="000C48A7" w:rsidRPr="0077661C" w:rsidRDefault="000C48A7" w:rsidP="000C48A7">
      <w:pPr>
        <w:rPr>
          <w:rFonts w:ascii="Times New Roman" w:hAnsi="Times New Roman"/>
          <w:sz w:val="24"/>
          <w:szCs w:val="24"/>
        </w:rPr>
      </w:pPr>
    </w:p>
    <w:p w14:paraId="51F12DFA" w14:textId="77777777" w:rsidR="000C48A7" w:rsidRPr="0077661C" w:rsidRDefault="000C48A7" w:rsidP="000C48A7">
      <w:pPr>
        <w:rPr>
          <w:rFonts w:ascii="Times New Roman" w:hAnsi="Times New Roman"/>
          <w:sz w:val="24"/>
          <w:szCs w:val="24"/>
        </w:rPr>
      </w:pPr>
    </w:p>
    <w:p w14:paraId="2C7DA743" w14:textId="77777777" w:rsidR="000C48A7" w:rsidRPr="0077661C" w:rsidRDefault="000C48A7" w:rsidP="000C48A7">
      <w:pPr>
        <w:rPr>
          <w:rFonts w:ascii="Times New Roman" w:hAnsi="Times New Roman"/>
          <w:sz w:val="24"/>
          <w:szCs w:val="24"/>
        </w:rPr>
      </w:pPr>
    </w:p>
    <w:p w14:paraId="6B868E34" w14:textId="77777777" w:rsidR="000C48A7" w:rsidRPr="0077661C" w:rsidRDefault="000C48A7" w:rsidP="000C48A7">
      <w:pPr>
        <w:rPr>
          <w:rFonts w:ascii="Times New Roman" w:hAnsi="Times New Roman"/>
          <w:sz w:val="24"/>
          <w:szCs w:val="24"/>
        </w:rPr>
      </w:pPr>
    </w:p>
    <w:p w14:paraId="240A4B11" w14:textId="77777777" w:rsidR="000C48A7" w:rsidRPr="0077661C" w:rsidRDefault="000C48A7" w:rsidP="000C48A7">
      <w:pPr>
        <w:rPr>
          <w:rFonts w:ascii="Times New Roman" w:hAnsi="Times New Roman"/>
          <w:sz w:val="24"/>
          <w:szCs w:val="24"/>
        </w:rPr>
      </w:pPr>
    </w:p>
    <w:p w14:paraId="39EE8D7D" w14:textId="77777777" w:rsidR="000C48A7" w:rsidRPr="0077661C" w:rsidRDefault="000C48A7" w:rsidP="000C48A7">
      <w:pPr>
        <w:rPr>
          <w:rFonts w:ascii="Times New Roman" w:hAnsi="Times New Roman"/>
          <w:sz w:val="24"/>
          <w:szCs w:val="24"/>
        </w:rPr>
      </w:pPr>
    </w:p>
    <w:p w14:paraId="0FB6C4BD" w14:textId="77777777" w:rsidR="000C48A7" w:rsidRPr="0077661C" w:rsidRDefault="000C48A7" w:rsidP="000C48A7">
      <w:pPr>
        <w:rPr>
          <w:rFonts w:ascii="Times New Roman" w:hAnsi="Times New Roman"/>
          <w:sz w:val="24"/>
          <w:szCs w:val="24"/>
        </w:rPr>
      </w:pPr>
    </w:p>
    <w:p w14:paraId="71A62F58" w14:textId="77777777" w:rsidR="000C48A7" w:rsidRPr="0077661C" w:rsidRDefault="000C48A7" w:rsidP="000C48A7">
      <w:pPr>
        <w:rPr>
          <w:rFonts w:ascii="Times New Roman" w:hAnsi="Times New Roman"/>
          <w:sz w:val="24"/>
          <w:szCs w:val="24"/>
        </w:rPr>
      </w:pPr>
    </w:p>
    <w:p w14:paraId="0F733503" w14:textId="77777777" w:rsidR="000C48A7" w:rsidRPr="0077661C" w:rsidRDefault="000C48A7" w:rsidP="000C48A7">
      <w:pPr>
        <w:rPr>
          <w:rFonts w:ascii="Times New Roman" w:hAnsi="Times New Roman"/>
          <w:sz w:val="24"/>
          <w:szCs w:val="24"/>
        </w:rPr>
      </w:pPr>
    </w:p>
    <w:p w14:paraId="51C5793F" w14:textId="77777777" w:rsidR="000C48A7" w:rsidRPr="0077661C" w:rsidRDefault="000C48A7" w:rsidP="000C48A7">
      <w:pPr>
        <w:rPr>
          <w:rFonts w:ascii="Times New Roman" w:hAnsi="Times New Roman"/>
          <w:sz w:val="24"/>
          <w:szCs w:val="24"/>
        </w:rPr>
      </w:pPr>
    </w:p>
    <w:p w14:paraId="1FC958D4" w14:textId="77777777" w:rsidR="000C48A7" w:rsidRPr="0077661C" w:rsidRDefault="000C48A7" w:rsidP="000C48A7">
      <w:pPr>
        <w:rPr>
          <w:rFonts w:ascii="Times New Roman" w:hAnsi="Times New Roman"/>
          <w:sz w:val="24"/>
          <w:szCs w:val="24"/>
        </w:rPr>
      </w:pPr>
    </w:p>
    <w:p w14:paraId="0A6188EC" w14:textId="77777777" w:rsidR="000C48A7" w:rsidRPr="0077661C" w:rsidRDefault="000C48A7" w:rsidP="000C48A7">
      <w:pPr>
        <w:rPr>
          <w:rFonts w:ascii="Times New Roman" w:hAnsi="Times New Roman"/>
          <w:sz w:val="24"/>
          <w:szCs w:val="24"/>
        </w:rPr>
      </w:pPr>
    </w:p>
    <w:p w14:paraId="5ACE7949" w14:textId="77777777" w:rsidR="000C48A7" w:rsidRPr="0077661C" w:rsidRDefault="000C48A7" w:rsidP="000C48A7">
      <w:pPr>
        <w:rPr>
          <w:rFonts w:ascii="Times New Roman" w:hAnsi="Times New Roman"/>
          <w:sz w:val="24"/>
          <w:szCs w:val="24"/>
        </w:rPr>
      </w:pPr>
    </w:p>
    <w:p w14:paraId="3E0FBE29" w14:textId="77777777" w:rsidR="000C48A7" w:rsidRPr="0077661C" w:rsidRDefault="000C48A7" w:rsidP="000C48A7">
      <w:pPr>
        <w:rPr>
          <w:rFonts w:ascii="Times New Roman" w:hAnsi="Times New Roman"/>
          <w:sz w:val="24"/>
          <w:szCs w:val="24"/>
        </w:rPr>
      </w:pPr>
    </w:p>
    <w:p w14:paraId="7CFF0029" w14:textId="77777777" w:rsidR="000C48A7" w:rsidRPr="0077661C" w:rsidRDefault="000C48A7" w:rsidP="000C48A7">
      <w:pPr>
        <w:rPr>
          <w:rFonts w:ascii="Times New Roman" w:hAnsi="Times New Roman"/>
          <w:sz w:val="24"/>
          <w:szCs w:val="24"/>
        </w:rPr>
      </w:pPr>
    </w:p>
    <w:p w14:paraId="5DB619DB" w14:textId="77777777" w:rsidR="000C48A7" w:rsidRPr="0077661C" w:rsidRDefault="000C48A7" w:rsidP="000C48A7">
      <w:pPr>
        <w:rPr>
          <w:rFonts w:ascii="Times New Roman" w:hAnsi="Times New Roman"/>
          <w:sz w:val="24"/>
          <w:szCs w:val="24"/>
        </w:rPr>
      </w:pPr>
    </w:p>
    <w:p w14:paraId="2E0AD53B" w14:textId="77777777" w:rsidR="000C48A7" w:rsidRPr="0077661C" w:rsidRDefault="000C48A7" w:rsidP="000C48A7">
      <w:pPr>
        <w:rPr>
          <w:rFonts w:ascii="Times New Roman" w:hAnsi="Times New Roman"/>
          <w:sz w:val="24"/>
          <w:szCs w:val="24"/>
        </w:rPr>
      </w:pPr>
    </w:p>
    <w:p w14:paraId="70A2F6C5" w14:textId="77777777" w:rsidR="000C48A7" w:rsidRPr="0077661C" w:rsidRDefault="000C48A7" w:rsidP="000C48A7">
      <w:pPr>
        <w:rPr>
          <w:rFonts w:ascii="Times New Roman" w:hAnsi="Times New Roman"/>
          <w:sz w:val="24"/>
          <w:szCs w:val="24"/>
        </w:rPr>
      </w:pPr>
    </w:p>
    <w:p w14:paraId="36E1E891" w14:textId="77777777" w:rsidR="000C48A7" w:rsidRPr="0077661C" w:rsidRDefault="000C48A7" w:rsidP="000C48A7">
      <w:pPr>
        <w:rPr>
          <w:rFonts w:ascii="Times New Roman" w:hAnsi="Times New Roman"/>
          <w:sz w:val="24"/>
          <w:szCs w:val="24"/>
        </w:rPr>
      </w:pPr>
    </w:p>
    <w:p w14:paraId="13A3C60A" w14:textId="77777777" w:rsidR="000C48A7" w:rsidRPr="0077661C" w:rsidRDefault="000C48A7" w:rsidP="000C48A7">
      <w:pPr>
        <w:rPr>
          <w:rFonts w:ascii="Times New Roman" w:hAnsi="Times New Roman"/>
          <w:sz w:val="24"/>
          <w:szCs w:val="24"/>
        </w:rPr>
      </w:pPr>
    </w:p>
    <w:p w14:paraId="0CF12C6D" w14:textId="77777777" w:rsidR="000C48A7" w:rsidRPr="0077661C" w:rsidRDefault="000C48A7" w:rsidP="000C48A7">
      <w:pPr>
        <w:rPr>
          <w:rFonts w:ascii="Times New Roman" w:hAnsi="Times New Roman"/>
          <w:sz w:val="24"/>
          <w:szCs w:val="24"/>
        </w:rPr>
      </w:pPr>
    </w:p>
    <w:p w14:paraId="1B420D51" w14:textId="77777777" w:rsidR="000C48A7" w:rsidRPr="0077661C" w:rsidRDefault="000C48A7" w:rsidP="000C48A7">
      <w:pPr>
        <w:rPr>
          <w:rFonts w:ascii="Times New Roman" w:hAnsi="Times New Roman"/>
          <w:sz w:val="24"/>
          <w:szCs w:val="24"/>
        </w:rPr>
      </w:pPr>
    </w:p>
    <w:p w14:paraId="5005AD59" w14:textId="77777777" w:rsidR="000C48A7" w:rsidRPr="0077661C" w:rsidRDefault="000C48A7" w:rsidP="000C48A7">
      <w:pPr>
        <w:rPr>
          <w:rFonts w:ascii="Times New Roman" w:hAnsi="Times New Roman"/>
          <w:sz w:val="24"/>
          <w:szCs w:val="24"/>
        </w:rPr>
      </w:pPr>
    </w:p>
    <w:p w14:paraId="04D80FC5" w14:textId="77777777" w:rsidR="000C48A7" w:rsidRPr="0077661C" w:rsidRDefault="000C48A7" w:rsidP="000C48A7">
      <w:pPr>
        <w:rPr>
          <w:rFonts w:ascii="Times New Roman" w:hAnsi="Times New Roman"/>
          <w:sz w:val="24"/>
          <w:szCs w:val="24"/>
        </w:rPr>
      </w:pPr>
    </w:p>
    <w:p w14:paraId="6FE1A346" w14:textId="77777777" w:rsidR="000C48A7" w:rsidRPr="0077661C" w:rsidRDefault="000C48A7" w:rsidP="000C48A7">
      <w:pPr>
        <w:rPr>
          <w:rFonts w:ascii="Times New Roman" w:hAnsi="Times New Roman"/>
          <w:sz w:val="24"/>
          <w:szCs w:val="24"/>
        </w:rPr>
      </w:pPr>
    </w:p>
    <w:p w14:paraId="3E41A2CD" w14:textId="77777777" w:rsidR="000C48A7" w:rsidRPr="0077661C" w:rsidRDefault="000C48A7" w:rsidP="000C48A7">
      <w:pPr>
        <w:rPr>
          <w:rFonts w:ascii="Times New Roman" w:hAnsi="Times New Roman"/>
          <w:sz w:val="24"/>
          <w:szCs w:val="24"/>
        </w:rPr>
      </w:pPr>
    </w:p>
    <w:p w14:paraId="770F5B60" w14:textId="77777777" w:rsidR="00012D2A" w:rsidRPr="0077661C" w:rsidRDefault="00012D2A" w:rsidP="000C48A7">
      <w:pPr>
        <w:rPr>
          <w:rFonts w:ascii="Times New Roman" w:hAnsi="Times New Roman"/>
          <w:b/>
          <w:bCs/>
          <w:sz w:val="24"/>
          <w:szCs w:val="24"/>
        </w:rPr>
      </w:pPr>
    </w:p>
    <w:p w14:paraId="233167F7" w14:textId="77777777" w:rsidR="00012D2A" w:rsidRPr="0077661C" w:rsidRDefault="00012D2A" w:rsidP="000C48A7">
      <w:pPr>
        <w:rPr>
          <w:rFonts w:ascii="Times New Roman" w:hAnsi="Times New Roman"/>
          <w:b/>
          <w:bCs/>
          <w:sz w:val="24"/>
          <w:szCs w:val="24"/>
        </w:rPr>
      </w:pPr>
    </w:p>
    <w:p w14:paraId="396E2C66" w14:textId="77777777" w:rsidR="00012D2A" w:rsidRPr="0077661C" w:rsidRDefault="00012D2A" w:rsidP="000C48A7">
      <w:pPr>
        <w:rPr>
          <w:rFonts w:ascii="Times New Roman" w:hAnsi="Times New Roman"/>
          <w:b/>
          <w:bCs/>
          <w:sz w:val="24"/>
          <w:szCs w:val="24"/>
        </w:rPr>
      </w:pPr>
    </w:p>
    <w:p w14:paraId="52AA0B56" w14:textId="77777777" w:rsidR="000C48A7" w:rsidRPr="0077661C" w:rsidRDefault="000C48A7" w:rsidP="000C48A7">
      <w:pPr>
        <w:rPr>
          <w:rFonts w:ascii="Times New Roman" w:hAnsi="Times New Roman"/>
          <w:b/>
          <w:bCs/>
          <w:sz w:val="24"/>
          <w:szCs w:val="24"/>
        </w:rPr>
      </w:pPr>
      <w:r w:rsidRPr="0077661C">
        <w:rPr>
          <w:rFonts w:ascii="Times New Roman" w:hAnsi="Times New Roman"/>
          <w:b/>
          <w:bCs/>
          <w:sz w:val="24"/>
          <w:szCs w:val="24"/>
        </w:rPr>
        <w:t>Příloha č. 4:</w:t>
      </w:r>
      <w:r w:rsidRPr="0077661C">
        <w:rPr>
          <w:rFonts w:ascii="Times New Roman" w:hAnsi="Times New Roman"/>
          <w:b/>
          <w:bCs/>
          <w:sz w:val="24"/>
          <w:szCs w:val="24"/>
        </w:rPr>
        <w:tab/>
        <w:t xml:space="preserve"> </w:t>
      </w:r>
    </w:p>
    <w:p w14:paraId="6081CA9E" w14:textId="77777777" w:rsidR="000C48A7" w:rsidRPr="0077661C" w:rsidRDefault="000C48A7" w:rsidP="000C48A7">
      <w:pPr>
        <w:jc w:val="both"/>
        <w:rPr>
          <w:rFonts w:ascii="Times New Roman" w:hAnsi="Times New Roman"/>
          <w:b/>
          <w:sz w:val="24"/>
          <w:szCs w:val="24"/>
        </w:rPr>
      </w:pPr>
    </w:p>
    <w:p w14:paraId="6E46EA36" w14:textId="77777777" w:rsidR="000C48A7" w:rsidRPr="0077661C" w:rsidRDefault="000C48A7" w:rsidP="000C48A7">
      <w:pPr>
        <w:jc w:val="both"/>
        <w:rPr>
          <w:rFonts w:ascii="Times New Roman" w:hAnsi="Times New Roman"/>
          <w:b/>
          <w:sz w:val="24"/>
          <w:szCs w:val="24"/>
        </w:rPr>
      </w:pPr>
      <w:r w:rsidRPr="0077661C">
        <w:rPr>
          <w:rFonts w:ascii="Times New Roman" w:hAnsi="Times New Roman"/>
          <w:b/>
          <w:sz w:val="24"/>
          <w:szCs w:val="24"/>
        </w:rPr>
        <w:t xml:space="preserve">Plán eliminace rizik při správě osobních údajů </w:t>
      </w:r>
    </w:p>
    <w:p w14:paraId="3193F927" w14:textId="77777777" w:rsidR="000C48A7" w:rsidRPr="0077661C" w:rsidRDefault="000C48A7" w:rsidP="000C48A7">
      <w:pPr>
        <w:rPr>
          <w:rFonts w:ascii="Times New Roman" w:hAnsi="Times New Roman"/>
          <w:sz w:val="24"/>
          <w:szCs w:val="24"/>
        </w:rPr>
      </w:pPr>
    </w:p>
    <w:p w14:paraId="14CA176D" w14:textId="77777777" w:rsidR="000C48A7" w:rsidRPr="0077661C" w:rsidRDefault="000C48A7" w:rsidP="000C48A7">
      <w:pPr>
        <w:jc w:val="both"/>
        <w:rPr>
          <w:rFonts w:ascii="Times New Roman" w:hAnsi="Times New Roman"/>
          <w:sz w:val="24"/>
          <w:szCs w:val="24"/>
        </w:rPr>
      </w:pPr>
      <w:r w:rsidRPr="0077661C">
        <w:rPr>
          <w:rFonts w:ascii="Times New Roman" w:hAnsi="Times New Roman"/>
          <w:sz w:val="24"/>
          <w:szCs w:val="24"/>
        </w:rPr>
        <w:t>Povinnosti jednotlivých zaměstnanců, které souvisejí s bezpečností a nakládání s daty v elektronické podobě a listinnými dokumenty:</w:t>
      </w:r>
    </w:p>
    <w:p w14:paraId="27F1644D" w14:textId="77777777" w:rsidR="000C48A7" w:rsidRPr="0077661C" w:rsidRDefault="000C48A7" w:rsidP="000C48A7">
      <w:pPr>
        <w:pStyle w:val="Odstavecseseznamem"/>
        <w:numPr>
          <w:ilvl w:val="0"/>
          <w:numId w:val="12"/>
        </w:numPr>
        <w:jc w:val="both"/>
        <w:rPr>
          <w:rFonts w:ascii="Times New Roman" w:hAnsi="Times New Roman" w:cs="Times New Roman"/>
          <w:sz w:val="24"/>
          <w:szCs w:val="24"/>
        </w:rPr>
      </w:pPr>
      <w:r w:rsidRPr="0077661C">
        <w:rPr>
          <w:rFonts w:ascii="Times New Roman" w:hAnsi="Times New Roman" w:cs="Times New Roman"/>
          <w:sz w:val="24"/>
          <w:szCs w:val="24"/>
        </w:rPr>
        <w:t>rozsah přístupu k datům a informacím a oprávnění k jejich využívání, včetně změn, vkládání nebo případného vymazání dat, musí odpovídat obsahu pracovních povinností, které má zaměstnanec podle jeho pracovního zařazení a právních předpisů;</w:t>
      </w:r>
    </w:p>
    <w:p w14:paraId="72A19E2F" w14:textId="77777777" w:rsidR="000C48A7" w:rsidRPr="0077661C" w:rsidRDefault="000C48A7" w:rsidP="000C48A7">
      <w:pPr>
        <w:pStyle w:val="Odstavecseseznamem"/>
        <w:numPr>
          <w:ilvl w:val="0"/>
          <w:numId w:val="12"/>
        </w:numPr>
        <w:jc w:val="both"/>
        <w:rPr>
          <w:rFonts w:ascii="Times New Roman" w:hAnsi="Times New Roman" w:cs="Times New Roman"/>
          <w:sz w:val="24"/>
          <w:szCs w:val="24"/>
        </w:rPr>
      </w:pPr>
      <w:r w:rsidRPr="0077661C">
        <w:rPr>
          <w:rFonts w:ascii="Times New Roman" w:hAnsi="Times New Roman" w:cs="Times New Roman"/>
          <w:sz w:val="24"/>
          <w:szCs w:val="24"/>
        </w:rPr>
        <w:t>média/data jsou uchována na místech, kde je zabráněno vstupu neoprávněným osobám;</w:t>
      </w:r>
    </w:p>
    <w:p w14:paraId="3D3E6477" w14:textId="77777777" w:rsidR="000C48A7" w:rsidRPr="0077661C" w:rsidRDefault="000C48A7" w:rsidP="000C48A7">
      <w:pPr>
        <w:pStyle w:val="Odstavecseseznamem"/>
        <w:numPr>
          <w:ilvl w:val="0"/>
          <w:numId w:val="12"/>
        </w:numPr>
        <w:jc w:val="both"/>
        <w:rPr>
          <w:rFonts w:ascii="Times New Roman" w:hAnsi="Times New Roman" w:cs="Times New Roman"/>
          <w:sz w:val="24"/>
          <w:szCs w:val="24"/>
        </w:rPr>
      </w:pPr>
      <w:r w:rsidRPr="0077661C">
        <w:rPr>
          <w:rFonts w:ascii="Times New Roman" w:hAnsi="Times New Roman" w:cs="Times New Roman"/>
          <w:sz w:val="24"/>
          <w:szCs w:val="24"/>
        </w:rPr>
        <w:t>osobní údaje jsou zpracovávány pouze v souladu se stanoveným účelem zpracování;</w:t>
      </w:r>
    </w:p>
    <w:p w14:paraId="1DA0F895" w14:textId="77777777" w:rsidR="000C48A7" w:rsidRPr="0077661C" w:rsidRDefault="000C48A7" w:rsidP="000C48A7">
      <w:pPr>
        <w:pStyle w:val="Odstavecseseznamem"/>
        <w:numPr>
          <w:ilvl w:val="0"/>
          <w:numId w:val="12"/>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přístupová pravidla a oprávnění k osobním údajům jsou pravidelně monitorována a kontrolována;</w:t>
      </w:r>
    </w:p>
    <w:p w14:paraId="436D2D51" w14:textId="77777777" w:rsidR="000C48A7" w:rsidRPr="0077661C" w:rsidRDefault="000C48A7" w:rsidP="000C48A7">
      <w:pPr>
        <w:pStyle w:val="Odstavecseseznamem"/>
        <w:numPr>
          <w:ilvl w:val="0"/>
          <w:numId w:val="12"/>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média/zařízení, na nichž jsou osobní údaje uloženy, jsou skladována a archivována pouze po nezbytně nutnou dobu (zásada minimalizace). Po uplynutí této doby jsou skartována.</w:t>
      </w:r>
    </w:p>
    <w:p w14:paraId="4E705750" w14:textId="77777777" w:rsidR="000C48A7" w:rsidRPr="0077661C" w:rsidRDefault="000C48A7" w:rsidP="000C48A7">
      <w:pPr>
        <w:jc w:val="both"/>
        <w:rPr>
          <w:rFonts w:ascii="Times New Roman" w:hAnsi="Times New Roman"/>
          <w:sz w:val="24"/>
          <w:szCs w:val="24"/>
        </w:rPr>
      </w:pPr>
    </w:p>
    <w:p w14:paraId="46D27E90" w14:textId="77777777" w:rsidR="000C48A7" w:rsidRPr="0077661C" w:rsidRDefault="000C48A7" w:rsidP="000C48A7">
      <w:pPr>
        <w:jc w:val="both"/>
        <w:rPr>
          <w:rFonts w:ascii="Times New Roman" w:hAnsi="Times New Roman"/>
          <w:sz w:val="24"/>
          <w:szCs w:val="24"/>
        </w:rPr>
      </w:pPr>
    </w:p>
    <w:p w14:paraId="144E46BD" w14:textId="77777777" w:rsidR="000C48A7" w:rsidRPr="0077661C" w:rsidRDefault="000C48A7" w:rsidP="000C48A7">
      <w:pPr>
        <w:jc w:val="both"/>
        <w:rPr>
          <w:rFonts w:ascii="Times New Roman" w:hAnsi="Times New Roman"/>
          <w:sz w:val="24"/>
          <w:szCs w:val="24"/>
        </w:rPr>
      </w:pPr>
    </w:p>
    <w:p w14:paraId="19FC6DC5" w14:textId="77777777" w:rsidR="000C48A7" w:rsidRPr="0077661C" w:rsidRDefault="000C48A7" w:rsidP="000C48A7">
      <w:pPr>
        <w:jc w:val="both"/>
        <w:rPr>
          <w:rFonts w:ascii="Times New Roman" w:hAnsi="Times New Roman"/>
          <w:sz w:val="24"/>
          <w:szCs w:val="24"/>
        </w:rPr>
      </w:pPr>
    </w:p>
    <w:p w14:paraId="040BDF62" w14:textId="77777777" w:rsidR="000C48A7" w:rsidRPr="0077661C" w:rsidRDefault="000C48A7" w:rsidP="000C48A7">
      <w:pPr>
        <w:rPr>
          <w:rFonts w:ascii="Times New Roman" w:hAnsi="Times New Roman"/>
          <w:sz w:val="24"/>
          <w:szCs w:val="24"/>
        </w:rPr>
      </w:pPr>
    </w:p>
    <w:p w14:paraId="56856AA6" w14:textId="77777777" w:rsidR="000C48A7" w:rsidRPr="0077661C" w:rsidRDefault="000C48A7" w:rsidP="000C48A7">
      <w:pPr>
        <w:rPr>
          <w:rFonts w:ascii="Times New Roman" w:hAnsi="Times New Roman"/>
          <w:sz w:val="24"/>
          <w:szCs w:val="24"/>
        </w:rPr>
      </w:pPr>
    </w:p>
    <w:p w14:paraId="5759370C" w14:textId="77777777" w:rsidR="000C48A7" w:rsidRPr="0077661C" w:rsidRDefault="000C48A7" w:rsidP="000C48A7">
      <w:pPr>
        <w:rPr>
          <w:rFonts w:ascii="Times New Roman" w:hAnsi="Times New Roman"/>
          <w:sz w:val="24"/>
          <w:szCs w:val="24"/>
        </w:rPr>
      </w:pPr>
    </w:p>
    <w:p w14:paraId="14A1B1E9" w14:textId="77777777" w:rsidR="000C48A7" w:rsidRPr="0077661C" w:rsidRDefault="000C48A7" w:rsidP="000C48A7">
      <w:pPr>
        <w:rPr>
          <w:rFonts w:ascii="Times New Roman" w:hAnsi="Times New Roman"/>
          <w:sz w:val="24"/>
          <w:szCs w:val="24"/>
        </w:rPr>
      </w:pPr>
    </w:p>
    <w:p w14:paraId="1A32F65D" w14:textId="77777777" w:rsidR="000C48A7" w:rsidRPr="0077661C" w:rsidRDefault="000C48A7" w:rsidP="000C48A7">
      <w:pPr>
        <w:rPr>
          <w:rFonts w:ascii="Times New Roman" w:hAnsi="Times New Roman"/>
          <w:sz w:val="24"/>
          <w:szCs w:val="24"/>
        </w:rPr>
      </w:pPr>
    </w:p>
    <w:p w14:paraId="30220289" w14:textId="77777777" w:rsidR="000C48A7" w:rsidRPr="0077661C" w:rsidRDefault="000C48A7" w:rsidP="000C48A7">
      <w:pPr>
        <w:rPr>
          <w:rFonts w:ascii="Times New Roman" w:hAnsi="Times New Roman"/>
          <w:sz w:val="24"/>
          <w:szCs w:val="24"/>
        </w:rPr>
      </w:pPr>
    </w:p>
    <w:p w14:paraId="23C816D1" w14:textId="77777777" w:rsidR="000C48A7" w:rsidRPr="0077661C" w:rsidRDefault="000C48A7" w:rsidP="000C48A7">
      <w:pPr>
        <w:rPr>
          <w:rFonts w:ascii="Times New Roman" w:hAnsi="Times New Roman"/>
          <w:sz w:val="24"/>
          <w:szCs w:val="24"/>
        </w:rPr>
      </w:pPr>
    </w:p>
    <w:p w14:paraId="4E20099F" w14:textId="77777777" w:rsidR="000C48A7" w:rsidRPr="0077661C" w:rsidRDefault="000C48A7" w:rsidP="000C48A7">
      <w:pPr>
        <w:rPr>
          <w:rFonts w:ascii="Times New Roman" w:hAnsi="Times New Roman"/>
          <w:sz w:val="24"/>
          <w:szCs w:val="24"/>
        </w:rPr>
      </w:pPr>
    </w:p>
    <w:p w14:paraId="3E1DED5B" w14:textId="77777777" w:rsidR="000C48A7" w:rsidRPr="0077661C" w:rsidRDefault="000C48A7" w:rsidP="000C48A7">
      <w:pPr>
        <w:rPr>
          <w:rFonts w:ascii="Times New Roman" w:hAnsi="Times New Roman"/>
          <w:sz w:val="24"/>
          <w:szCs w:val="24"/>
        </w:rPr>
      </w:pPr>
    </w:p>
    <w:p w14:paraId="1D2798AC" w14:textId="77777777" w:rsidR="000C48A7" w:rsidRPr="0077661C" w:rsidRDefault="000C48A7" w:rsidP="000C48A7">
      <w:pPr>
        <w:rPr>
          <w:rFonts w:ascii="Times New Roman" w:hAnsi="Times New Roman"/>
          <w:sz w:val="24"/>
          <w:szCs w:val="24"/>
        </w:rPr>
      </w:pPr>
    </w:p>
    <w:p w14:paraId="1318C572" w14:textId="77777777" w:rsidR="000C48A7" w:rsidRPr="0077661C" w:rsidRDefault="000C48A7" w:rsidP="000C48A7">
      <w:pPr>
        <w:rPr>
          <w:rFonts w:ascii="Times New Roman" w:hAnsi="Times New Roman"/>
          <w:sz w:val="24"/>
          <w:szCs w:val="24"/>
        </w:rPr>
      </w:pPr>
    </w:p>
    <w:p w14:paraId="385B5A6A" w14:textId="77777777" w:rsidR="000C48A7" w:rsidRPr="0077661C" w:rsidRDefault="000C48A7" w:rsidP="000C48A7">
      <w:pPr>
        <w:rPr>
          <w:rFonts w:ascii="Times New Roman" w:hAnsi="Times New Roman"/>
          <w:sz w:val="24"/>
          <w:szCs w:val="24"/>
        </w:rPr>
      </w:pPr>
    </w:p>
    <w:p w14:paraId="23A87099" w14:textId="77777777" w:rsidR="000C48A7" w:rsidRPr="0077661C" w:rsidRDefault="000C48A7" w:rsidP="000C48A7">
      <w:pPr>
        <w:rPr>
          <w:rFonts w:ascii="Times New Roman" w:hAnsi="Times New Roman"/>
          <w:sz w:val="24"/>
          <w:szCs w:val="24"/>
        </w:rPr>
      </w:pPr>
    </w:p>
    <w:p w14:paraId="0FF45A21" w14:textId="77777777" w:rsidR="000C48A7" w:rsidRPr="0077661C" w:rsidRDefault="000C48A7" w:rsidP="000C48A7">
      <w:pPr>
        <w:rPr>
          <w:rFonts w:ascii="Times New Roman" w:hAnsi="Times New Roman"/>
          <w:sz w:val="24"/>
          <w:szCs w:val="24"/>
        </w:rPr>
      </w:pPr>
    </w:p>
    <w:p w14:paraId="2C324E79" w14:textId="77777777" w:rsidR="000C48A7" w:rsidRPr="0077661C" w:rsidRDefault="000C48A7" w:rsidP="000C48A7">
      <w:pPr>
        <w:rPr>
          <w:rFonts w:ascii="Times New Roman" w:hAnsi="Times New Roman"/>
          <w:sz w:val="24"/>
          <w:szCs w:val="24"/>
        </w:rPr>
      </w:pPr>
    </w:p>
    <w:p w14:paraId="20F9516C" w14:textId="77777777" w:rsidR="000C48A7" w:rsidRPr="0077661C" w:rsidRDefault="000C48A7" w:rsidP="000C48A7">
      <w:pPr>
        <w:rPr>
          <w:rFonts w:ascii="Times New Roman" w:hAnsi="Times New Roman"/>
          <w:sz w:val="24"/>
          <w:szCs w:val="24"/>
        </w:rPr>
      </w:pPr>
    </w:p>
    <w:p w14:paraId="17B5716E" w14:textId="77777777" w:rsidR="000C48A7" w:rsidRPr="0077661C" w:rsidRDefault="000C48A7" w:rsidP="000C48A7">
      <w:pPr>
        <w:rPr>
          <w:rFonts w:ascii="Times New Roman" w:hAnsi="Times New Roman"/>
          <w:sz w:val="24"/>
          <w:szCs w:val="24"/>
        </w:rPr>
      </w:pPr>
    </w:p>
    <w:p w14:paraId="26CD5098" w14:textId="77777777" w:rsidR="000C48A7" w:rsidRPr="0077661C" w:rsidRDefault="000C48A7" w:rsidP="000C48A7">
      <w:pPr>
        <w:rPr>
          <w:rFonts w:ascii="Times New Roman" w:hAnsi="Times New Roman"/>
          <w:sz w:val="24"/>
          <w:szCs w:val="24"/>
        </w:rPr>
      </w:pPr>
    </w:p>
    <w:p w14:paraId="2D99A392" w14:textId="77777777" w:rsidR="000C48A7" w:rsidRPr="0077661C" w:rsidRDefault="000C48A7" w:rsidP="000C48A7">
      <w:pPr>
        <w:rPr>
          <w:rFonts w:ascii="Times New Roman" w:hAnsi="Times New Roman"/>
          <w:sz w:val="24"/>
          <w:szCs w:val="24"/>
        </w:rPr>
      </w:pPr>
    </w:p>
    <w:p w14:paraId="7A24F566" w14:textId="77777777" w:rsidR="000C48A7" w:rsidRPr="0077661C" w:rsidRDefault="000C48A7" w:rsidP="000C48A7">
      <w:pPr>
        <w:rPr>
          <w:rFonts w:ascii="Times New Roman" w:hAnsi="Times New Roman"/>
          <w:sz w:val="24"/>
          <w:szCs w:val="24"/>
        </w:rPr>
      </w:pPr>
    </w:p>
    <w:p w14:paraId="76E73054" w14:textId="77777777" w:rsidR="000C48A7" w:rsidRPr="0077661C" w:rsidRDefault="000C48A7" w:rsidP="000C48A7">
      <w:pPr>
        <w:rPr>
          <w:rFonts w:ascii="Times New Roman" w:hAnsi="Times New Roman"/>
          <w:sz w:val="24"/>
          <w:szCs w:val="24"/>
        </w:rPr>
      </w:pPr>
    </w:p>
    <w:p w14:paraId="1E360479" w14:textId="77777777" w:rsidR="000C48A7" w:rsidRPr="0077661C" w:rsidRDefault="000C48A7" w:rsidP="000C48A7">
      <w:pPr>
        <w:rPr>
          <w:rFonts w:ascii="Times New Roman" w:hAnsi="Times New Roman"/>
          <w:sz w:val="24"/>
          <w:szCs w:val="24"/>
        </w:rPr>
      </w:pPr>
    </w:p>
    <w:p w14:paraId="19565679" w14:textId="77777777" w:rsidR="000C48A7" w:rsidRPr="0077661C" w:rsidRDefault="000C48A7" w:rsidP="000C48A7">
      <w:pPr>
        <w:rPr>
          <w:rFonts w:ascii="Times New Roman" w:hAnsi="Times New Roman"/>
          <w:sz w:val="24"/>
          <w:szCs w:val="24"/>
        </w:rPr>
      </w:pPr>
    </w:p>
    <w:p w14:paraId="2040227F" w14:textId="77777777" w:rsidR="000C48A7" w:rsidRPr="0077661C" w:rsidRDefault="000C48A7" w:rsidP="000C48A7">
      <w:pPr>
        <w:rPr>
          <w:rFonts w:ascii="Times New Roman" w:hAnsi="Times New Roman"/>
          <w:sz w:val="24"/>
          <w:szCs w:val="24"/>
        </w:rPr>
      </w:pPr>
    </w:p>
    <w:p w14:paraId="57782100" w14:textId="77777777" w:rsidR="000C48A7" w:rsidRPr="0077661C" w:rsidRDefault="000C48A7" w:rsidP="000C48A7">
      <w:pPr>
        <w:rPr>
          <w:rFonts w:ascii="Times New Roman" w:hAnsi="Times New Roman"/>
          <w:sz w:val="24"/>
          <w:szCs w:val="24"/>
        </w:rPr>
      </w:pPr>
    </w:p>
    <w:p w14:paraId="3696E60D" w14:textId="77777777" w:rsidR="000C48A7" w:rsidRPr="0077661C" w:rsidRDefault="000C48A7" w:rsidP="000C48A7">
      <w:pPr>
        <w:rPr>
          <w:rFonts w:ascii="Times New Roman" w:hAnsi="Times New Roman"/>
          <w:sz w:val="24"/>
          <w:szCs w:val="24"/>
        </w:rPr>
      </w:pPr>
    </w:p>
    <w:p w14:paraId="56044D86" w14:textId="77777777" w:rsidR="000C48A7" w:rsidRPr="0077661C" w:rsidRDefault="000C48A7" w:rsidP="000C48A7">
      <w:pPr>
        <w:rPr>
          <w:rFonts w:ascii="Times New Roman" w:hAnsi="Times New Roman"/>
          <w:b/>
          <w:noProof/>
          <w:sz w:val="24"/>
          <w:szCs w:val="24"/>
        </w:rPr>
      </w:pPr>
    </w:p>
    <w:p w14:paraId="7E1EEE7C" w14:textId="77777777" w:rsidR="0007734F" w:rsidRPr="0077661C" w:rsidRDefault="0007734F" w:rsidP="000C48A7">
      <w:pPr>
        <w:rPr>
          <w:rFonts w:ascii="Times New Roman" w:hAnsi="Times New Roman"/>
          <w:b/>
          <w:bCs/>
          <w:sz w:val="24"/>
          <w:szCs w:val="24"/>
        </w:rPr>
      </w:pPr>
    </w:p>
    <w:p w14:paraId="03AFFEF7" w14:textId="77777777" w:rsidR="0007734F" w:rsidRPr="0077661C" w:rsidRDefault="0007734F" w:rsidP="000C48A7">
      <w:pPr>
        <w:rPr>
          <w:rFonts w:ascii="Times New Roman" w:hAnsi="Times New Roman"/>
          <w:b/>
          <w:bCs/>
          <w:sz w:val="24"/>
          <w:szCs w:val="24"/>
        </w:rPr>
      </w:pPr>
    </w:p>
    <w:p w14:paraId="11D4FD36" w14:textId="77777777" w:rsidR="0007734F" w:rsidRPr="0077661C" w:rsidRDefault="0007734F" w:rsidP="000C48A7">
      <w:pPr>
        <w:rPr>
          <w:rFonts w:ascii="Times New Roman" w:hAnsi="Times New Roman"/>
          <w:b/>
          <w:bCs/>
          <w:sz w:val="24"/>
          <w:szCs w:val="24"/>
        </w:rPr>
      </w:pPr>
    </w:p>
    <w:p w14:paraId="3302ABED" w14:textId="77777777" w:rsidR="0007734F" w:rsidRPr="0077661C" w:rsidRDefault="0007734F" w:rsidP="000C48A7">
      <w:pPr>
        <w:rPr>
          <w:rFonts w:ascii="Times New Roman" w:hAnsi="Times New Roman"/>
          <w:b/>
          <w:bCs/>
          <w:sz w:val="24"/>
          <w:szCs w:val="24"/>
        </w:rPr>
      </w:pPr>
    </w:p>
    <w:p w14:paraId="088A7C7E" w14:textId="77777777" w:rsidR="0007734F" w:rsidRPr="0077661C" w:rsidRDefault="0007734F" w:rsidP="000C48A7">
      <w:pPr>
        <w:rPr>
          <w:rFonts w:ascii="Times New Roman" w:hAnsi="Times New Roman"/>
          <w:b/>
          <w:bCs/>
          <w:sz w:val="24"/>
          <w:szCs w:val="24"/>
        </w:rPr>
      </w:pPr>
    </w:p>
    <w:p w14:paraId="43D695A3" w14:textId="77777777" w:rsidR="000C48A7" w:rsidRPr="0077661C" w:rsidRDefault="000C48A7" w:rsidP="000C48A7">
      <w:pPr>
        <w:rPr>
          <w:rFonts w:ascii="Times New Roman" w:hAnsi="Times New Roman"/>
          <w:b/>
          <w:bCs/>
          <w:sz w:val="24"/>
          <w:szCs w:val="24"/>
        </w:rPr>
      </w:pPr>
      <w:r w:rsidRPr="0077661C">
        <w:rPr>
          <w:rFonts w:ascii="Times New Roman" w:hAnsi="Times New Roman"/>
          <w:b/>
          <w:bCs/>
          <w:sz w:val="24"/>
          <w:szCs w:val="24"/>
        </w:rPr>
        <w:t xml:space="preserve">Příloha č. 5: </w:t>
      </w:r>
    </w:p>
    <w:p w14:paraId="1A3759F8" w14:textId="77777777" w:rsidR="000C48A7" w:rsidRPr="0077661C" w:rsidRDefault="000C48A7" w:rsidP="000C48A7">
      <w:pPr>
        <w:rPr>
          <w:rFonts w:ascii="Times New Roman" w:hAnsi="Times New Roman"/>
          <w:b/>
          <w:bCs/>
          <w:sz w:val="24"/>
          <w:szCs w:val="24"/>
        </w:rPr>
      </w:pPr>
    </w:p>
    <w:p w14:paraId="58834B12" w14:textId="77777777" w:rsidR="000C48A7" w:rsidRPr="0077661C" w:rsidRDefault="000C48A7" w:rsidP="000C48A7">
      <w:pPr>
        <w:rPr>
          <w:rFonts w:ascii="Times New Roman" w:hAnsi="Times New Roman"/>
          <w:b/>
          <w:sz w:val="24"/>
          <w:szCs w:val="24"/>
        </w:rPr>
      </w:pPr>
      <w:r w:rsidRPr="0077661C">
        <w:rPr>
          <w:rFonts w:ascii="Times New Roman" w:hAnsi="Times New Roman"/>
          <w:b/>
          <w:sz w:val="24"/>
          <w:szCs w:val="24"/>
        </w:rPr>
        <w:t>Plán eliminace rizik při použití mobilní výpočetní techniky</w:t>
      </w:r>
    </w:p>
    <w:p w14:paraId="3FE3D26C" w14:textId="77777777" w:rsidR="000C48A7" w:rsidRPr="0077661C" w:rsidRDefault="000C48A7" w:rsidP="000C48A7">
      <w:pPr>
        <w:rPr>
          <w:rFonts w:ascii="Times New Roman" w:hAnsi="Times New Roman"/>
          <w:sz w:val="24"/>
          <w:szCs w:val="24"/>
        </w:rPr>
      </w:pPr>
    </w:p>
    <w:p w14:paraId="220C4DC1" w14:textId="77777777" w:rsidR="000C48A7" w:rsidRPr="0077661C" w:rsidRDefault="000C48A7" w:rsidP="000C48A7">
      <w:pPr>
        <w:pStyle w:val="Odstavecseseznamem"/>
        <w:numPr>
          <w:ilvl w:val="0"/>
          <w:numId w:val="11"/>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Při použití mobilních výpočetních prostředků, například notebooků, tablet</w:t>
      </w:r>
      <w:r w:rsidR="00483C84" w:rsidRPr="0077661C">
        <w:rPr>
          <w:rFonts w:ascii="Times New Roman" w:hAnsi="Times New Roman" w:cs="Times New Roman"/>
          <w:sz w:val="24"/>
          <w:szCs w:val="24"/>
        </w:rPr>
        <w:t>ů</w:t>
      </w:r>
      <w:r w:rsidRPr="0077661C">
        <w:rPr>
          <w:rFonts w:ascii="Times New Roman" w:hAnsi="Times New Roman" w:cs="Times New Roman"/>
          <w:sz w:val="24"/>
          <w:szCs w:val="24"/>
        </w:rPr>
        <w:t xml:space="preserve"> a mobilních telefonů musí být věnována zvláštní pozornost tomu, aby nebyly prozrazeny zpracovávané osobní údaje.</w:t>
      </w:r>
    </w:p>
    <w:p w14:paraId="4D0FBAC1" w14:textId="77777777" w:rsidR="000C48A7" w:rsidRPr="0077661C" w:rsidRDefault="000C48A7" w:rsidP="000C48A7">
      <w:pPr>
        <w:pStyle w:val="Odstavecseseznamem"/>
        <w:numPr>
          <w:ilvl w:val="0"/>
          <w:numId w:val="11"/>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Mobilní výpočetní prostředky musí být chráněny proti zcizení a možnosti získání osobních údajů v nich obsažených (např. vzdálené vypnutí, možnost vzdáleného vymazání dat). Zařízení, obsahující zpracovávané osobní údaje nesmí zůstávat bez dohledu, mělo by být fyzicky zabezpečeno nebo by jeho funkce měly být zajištěny speciálním uzamčením.</w:t>
      </w:r>
    </w:p>
    <w:p w14:paraId="6F7C6F8D" w14:textId="77777777" w:rsidR="000C48A7" w:rsidRPr="0077661C" w:rsidRDefault="000C48A7" w:rsidP="000C48A7">
      <w:pPr>
        <w:pStyle w:val="Odstavecseseznamem"/>
        <w:numPr>
          <w:ilvl w:val="0"/>
          <w:numId w:val="11"/>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 xml:space="preserve">Při použití mobilních výpočetních zařízení připojených k sítím musí být zajištěna vhodná ochrana (antivirový program, heslování) a vzdálený přístup k osobním údajům prostřednictvím veřejných sítí musí být umožněn pouze po úspěšné identifikaci a autentizaci, a to s nasazením vhodných mechanizmů řízení přístupu. </w:t>
      </w:r>
    </w:p>
    <w:p w14:paraId="13D07494" w14:textId="77777777" w:rsidR="000C48A7" w:rsidRPr="0077661C" w:rsidRDefault="000C48A7" w:rsidP="000C48A7">
      <w:pPr>
        <w:pStyle w:val="Odstavecseseznamem"/>
        <w:numPr>
          <w:ilvl w:val="0"/>
          <w:numId w:val="11"/>
        </w:numPr>
        <w:autoSpaceDE w:val="0"/>
        <w:autoSpaceDN w:val="0"/>
        <w:adjustRightInd w:val="0"/>
        <w:jc w:val="both"/>
        <w:rPr>
          <w:rFonts w:ascii="Times New Roman" w:hAnsi="Times New Roman" w:cs="Times New Roman"/>
          <w:sz w:val="24"/>
          <w:szCs w:val="24"/>
        </w:rPr>
      </w:pPr>
      <w:r w:rsidRPr="0077661C">
        <w:rPr>
          <w:rFonts w:ascii="Times New Roman" w:hAnsi="Times New Roman" w:cs="Times New Roman"/>
          <w:sz w:val="24"/>
          <w:szCs w:val="24"/>
        </w:rPr>
        <w:t xml:space="preserve">Zvláštní pozornost musí být věnována použití mobilních výpočetních zařízení na veřejných místech a jiných nechráněných místech mimo prostor </w:t>
      </w:r>
      <w:r w:rsidR="001B33A0" w:rsidRPr="0077661C">
        <w:rPr>
          <w:rFonts w:ascii="Times New Roman" w:hAnsi="Times New Roman" w:cs="Times New Roman"/>
          <w:sz w:val="24"/>
          <w:szCs w:val="24"/>
        </w:rPr>
        <w:t>zaměstnavatele</w:t>
      </w:r>
      <w:r w:rsidRPr="0077661C">
        <w:rPr>
          <w:rFonts w:ascii="Times New Roman" w:hAnsi="Times New Roman" w:cs="Times New Roman"/>
          <w:sz w:val="24"/>
          <w:szCs w:val="24"/>
        </w:rPr>
        <w:t xml:space="preserve">. </w:t>
      </w:r>
    </w:p>
    <w:p w14:paraId="3F150B16" w14:textId="77777777" w:rsidR="00C76C79" w:rsidRPr="0077661C" w:rsidRDefault="00C76C79">
      <w:pPr>
        <w:rPr>
          <w:rFonts w:ascii="Times New Roman" w:hAnsi="Times New Roman"/>
          <w:sz w:val="24"/>
          <w:szCs w:val="24"/>
        </w:rPr>
      </w:pPr>
    </w:p>
    <w:p w14:paraId="3C6254A3" w14:textId="77777777" w:rsidR="008D4B6F" w:rsidRPr="0077661C" w:rsidRDefault="008D4B6F">
      <w:pPr>
        <w:rPr>
          <w:rFonts w:ascii="Times New Roman" w:hAnsi="Times New Roman"/>
          <w:sz w:val="24"/>
          <w:szCs w:val="24"/>
        </w:rPr>
      </w:pPr>
    </w:p>
    <w:p w14:paraId="2BEE9A2F" w14:textId="77777777" w:rsidR="008D4B6F" w:rsidRPr="0077661C" w:rsidRDefault="008D4B6F">
      <w:pPr>
        <w:rPr>
          <w:rFonts w:ascii="Times New Roman" w:hAnsi="Times New Roman"/>
          <w:sz w:val="24"/>
          <w:szCs w:val="24"/>
        </w:rPr>
      </w:pPr>
    </w:p>
    <w:p w14:paraId="6F2B591F" w14:textId="77777777" w:rsidR="008D4B6F" w:rsidRPr="0077661C" w:rsidRDefault="008D4B6F">
      <w:pPr>
        <w:rPr>
          <w:rFonts w:ascii="Times New Roman" w:hAnsi="Times New Roman"/>
          <w:sz w:val="24"/>
          <w:szCs w:val="24"/>
        </w:rPr>
      </w:pPr>
    </w:p>
    <w:p w14:paraId="3BB2E7CB" w14:textId="77777777" w:rsidR="008D4B6F" w:rsidRPr="0077661C" w:rsidRDefault="008D4B6F">
      <w:pPr>
        <w:rPr>
          <w:rFonts w:ascii="Times New Roman" w:hAnsi="Times New Roman"/>
          <w:sz w:val="24"/>
          <w:szCs w:val="24"/>
        </w:rPr>
      </w:pPr>
    </w:p>
    <w:p w14:paraId="3371F849" w14:textId="77777777" w:rsidR="008D4B6F" w:rsidRPr="0077661C" w:rsidRDefault="008D4B6F">
      <w:pPr>
        <w:rPr>
          <w:rFonts w:ascii="Times New Roman" w:hAnsi="Times New Roman"/>
          <w:sz w:val="24"/>
          <w:szCs w:val="24"/>
        </w:rPr>
      </w:pPr>
    </w:p>
    <w:p w14:paraId="09F5C49E" w14:textId="77777777" w:rsidR="008D4B6F" w:rsidRPr="0077661C" w:rsidRDefault="008D4B6F">
      <w:pPr>
        <w:rPr>
          <w:rFonts w:ascii="Times New Roman" w:hAnsi="Times New Roman"/>
          <w:sz w:val="24"/>
          <w:szCs w:val="24"/>
        </w:rPr>
      </w:pPr>
    </w:p>
    <w:p w14:paraId="5C9DEF10" w14:textId="77777777" w:rsidR="008D4B6F" w:rsidRPr="0077661C" w:rsidRDefault="008D4B6F">
      <w:pPr>
        <w:rPr>
          <w:rFonts w:ascii="Times New Roman" w:hAnsi="Times New Roman"/>
          <w:sz w:val="24"/>
          <w:szCs w:val="24"/>
        </w:rPr>
      </w:pPr>
    </w:p>
    <w:p w14:paraId="5937B767" w14:textId="77777777" w:rsidR="008D4B6F" w:rsidRPr="0077661C" w:rsidRDefault="008D4B6F">
      <w:pPr>
        <w:rPr>
          <w:rFonts w:ascii="Times New Roman" w:hAnsi="Times New Roman"/>
          <w:sz w:val="24"/>
          <w:szCs w:val="24"/>
        </w:rPr>
      </w:pPr>
    </w:p>
    <w:p w14:paraId="60EA142E" w14:textId="77777777" w:rsidR="008D4B6F" w:rsidRPr="0077661C" w:rsidRDefault="008D4B6F">
      <w:pPr>
        <w:rPr>
          <w:rFonts w:ascii="Times New Roman" w:hAnsi="Times New Roman"/>
          <w:sz w:val="24"/>
          <w:szCs w:val="24"/>
        </w:rPr>
      </w:pPr>
    </w:p>
    <w:p w14:paraId="34F5A28D" w14:textId="77777777" w:rsidR="008D4B6F" w:rsidRPr="0077661C" w:rsidRDefault="008D4B6F">
      <w:pPr>
        <w:rPr>
          <w:rFonts w:ascii="Times New Roman" w:hAnsi="Times New Roman"/>
          <w:sz w:val="24"/>
          <w:szCs w:val="24"/>
        </w:rPr>
      </w:pPr>
    </w:p>
    <w:p w14:paraId="49A48093" w14:textId="77777777" w:rsidR="008D4B6F" w:rsidRPr="0077661C" w:rsidRDefault="008D4B6F">
      <w:pPr>
        <w:rPr>
          <w:rFonts w:ascii="Times New Roman" w:hAnsi="Times New Roman"/>
          <w:sz w:val="24"/>
          <w:szCs w:val="24"/>
        </w:rPr>
      </w:pPr>
    </w:p>
    <w:p w14:paraId="6A79C60E" w14:textId="77777777" w:rsidR="008D4B6F" w:rsidRPr="0077661C" w:rsidRDefault="008D4B6F">
      <w:pPr>
        <w:rPr>
          <w:rFonts w:ascii="Times New Roman" w:hAnsi="Times New Roman"/>
          <w:sz w:val="24"/>
          <w:szCs w:val="24"/>
        </w:rPr>
      </w:pPr>
    </w:p>
    <w:p w14:paraId="62D8EFD2" w14:textId="77777777" w:rsidR="008D4B6F" w:rsidRPr="0077661C" w:rsidRDefault="008D4B6F">
      <w:pPr>
        <w:rPr>
          <w:rFonts w:ascii="Times New Roman" w:hAnsi="Times New Roman"/>
          <w:sz w:val="24"/>
          <w:szCs w:val="24"/>
        </w:rPr>
      </w:pPr>
    </w:p>
    <w:p w14:paraId="2463318F" w14:textId="77777777" w:rsidR="008D4B6F" w:rsidRPr="0077661C" w:rsidRDefault="008D4B6F">
      <w:pPr>
        <w:rPr>
          <w:rFonts w:ascii="Times New Roman" w:hAnsi="Times New Roman"/>
          <w:sz w:val="24"/>
          <w:szCs w:val="24"/>
        </w:rPr>
      </w:pPr>
    </w:p>
    <w:p w14:paraId="65D3421C" w14:textId="77777777" w:rsidR="008D4B6F" w:rsidRPr="0077661C" w:rsidRDefault="008D4B6F">
      <w:pPr>
        <w:rPr>
          <w:rFonts w:ascii="Times New Roman" w:hAnsi="Times New Roman"/>
          <w:sz w:val="24"/>
          <w:szCs w:val="24"/>
        </w:rPr>
      </w:pPr>
    </w:p>
    <w:p w14:paraId="2317D650" w14:textId="77777777" w:rsidR="008D4B6F" w:rsidRPr="0077661C" w:rsidRDefault="008D4B6F">
      <w:pPr>
        <w:rPr>
          <w:rFonts w:ascii="Times New Roman" w:hAnsi="Times New Roman"/>
          <w:sz w:val="24"/>
          <w:szCs w:val="24"/>
        </w:rPr>
      </w:pPr>
    </w:p>
    <w:p w14:paraId="6FFF5E02" w14:textId="77777777" w:rsidR="008D4B6F" w:rsidRPr="0077661C" w:rsidRDefault="008D4B6F">
      <w:pPr>
        <w:rPr>
          <w:rFonts w:ascii="Times New Roman" w:hAnsi="Times New Roman"/>
          <w:sz w:val="24"/>
          <w:szCs w:val="24"/>
        </w:rPr>
      </w:pPr>
    </w:p>
    <w:p w14:paraId="7DBBD9AD" w14:textId="77777777" w:rsidR="008D4B6F" w:rsidRPr="0077661C" w:rsidRDefault="008D4B6F">
      <w:pPr>
        <w:rPr>
          <w:rFonts w:ascii="Times New Roman" w:hAnsi="Times New Roman"/>
          <w:sz w:val="24"/>
          <w:szCs w:val="24"/>
        </w:rPr>
      </w:pPr>
    </w:p>
    <w:p w14:paraId="0DA32371" w14:textId="77777777" w:rsidR="008D4B6F" w:rsidRPr="0077661C" w:rsidRDefault="008D4B6F">
      <w:pPr>
        <w:rPr>
          <w:rFonts w:ascii="Times New Roman" w:hAnsi="Times New Roman"/>
          <w:sz w:val="24"/>
          <w:szCs w:val="24"/>
        </w:rPr>
      </w:pPr>
    </w:p>
    <w:p w14:paraId="1EE3F5F3" w14:textId="77777777" w:rsidR="008D4B6F" w:rsidRPr="0077661C" w:rsidRDefault="008D4B6F">
      <w:pPr>
        <w:rPr>
          <w:rFonts w:ascii="Times New Roman" w:hAnsi="Times New Roman"/>
          <w:sz w:val="24"/>
          <w:szCs w:val="24"/>
        </w:rPr>
      </w:pPr>
    </w:p>
    <w:p w14:paraId="1F64F5B1" w14:textId="77777777" w:rsidR="008D4B6F" w:rsidRPr="0077661C" w:rsidRDefault="008D4B6F">
      <w:pPr>
        <w:rPr>
          <w:rFonts w:ascii="Times New Roman" w:hAnsi="Times New Roman"/>
          <w:sz w:val="24"/>
          <w:szCs w:val="24"/>
        </w:rPr>
      </w:pPr>
    </w:p>
    <w:p w14:paraId="46A0C379" w14:textId="77777777" w:rsidR="008D4B6F" w:rsidRPr="0077661C" w:rsidRDefault="008D4B6F">
      <w:pPr>
        <w:rPr>
          <w:rFonts w:ascii="Times New Roman" w:hAnsi="Times New Roman"/>
          <w:sz w:val="24"/>
          <w:szCs w:val="24"/>
        </w:rPr>
      </w:pPr>
    </w:p>
    <w:p w14:paraId="2DBC865B" w14:textId="77777777" w:rsidR="008D4B6F" w:rsidRPr="0077661C" w:rsidRDefault="008D4B6F">
      <w:pPr>
        <w:rPr>
          <w:rFonts w:ascii="Times New Roman" w:hAnsi="Times New Roman"/>
          <w:sz w:val="24"/>
          <w:szCs w:val="24"/>
        </w:rPr>
      </w:pPr>
    </w:p>
    <w:p w14:paraId="70B4330E" w14:textId="77777777" w:rsidR="008D4B6F" w:rsidRPr="0077661C" w:rsidRDefault="008D4B6F">
      <w:pPr>
        <w:rPr>
          <w:rFonts w:ascii="Times New Roman" w:hAnsi="Times New Roman"/>
          <w:sz w:val="24"/>
          <w:szCs w:val="24"/>
        </w:rPr>
      </w:pPr>
    </w:p>
    <w:p w14:paraId="41DA43B7" w14:textId="77777777" w:rsidR="008D4B6F" w:rsidRPr="0077661C" w:rsidRDefault="008D4B6F">
      <w:pPr>
        <w:rPr>
          <w:rFonts w:ascii="Times New Roman" w:hAnsi="Times New Roman"/>
          <w:sz w:val="24"/>
          <w:szCs w:val="24"/>
        </w:rPr>
      </w:pPr>
    </w:p>
    <w:p w14:paraId="48757EA4" w14:textId="77777777" w:rsidR="008D4B6F" w:rsidRPr="0077661C" w:rsidRDefault="008D4B6F">
      <w:pPr>
        <w:rPr>
          <w:rFonts w:ascii="Times New Roman" w:hAnsi="Times New Roman"/>
          <w:sz w:val="24"/>
          <w:szCs w:val="24"/>
        </w:rPr>
      </w:pPr>
    </w:p>
    <w:p w14:paraId="2B0F5733" w14:textId="77777777" w:rsidR="008D4B6F" w:rsidRPr="0077661C" w:rsidRDefault="008D4B6F">
      <w:pPr>
        <w:rPr>
          <w:rFonts w:ascii="Times New Roman" w:hAnsi="Times New Roman"/>
          <w:sz w:val="24"/>
          <w:szCs w:val="24"/>
        </w:rPr>
      </w:pPr>
    </w:p>
    <w:p w14:paraId="040BE4EA" w14:textId="77777777" w:rsidR="008D4B6F" w:rsidRPr="0077661C" w:rsidRDefault="008D4B6F">
      <w:pPr>
        <w:rPr>
          <w:rFonts w:ascii="Times New Roman" w:hAnsi="Times New Roman"/>
          <w:sz w:val="24"/>
          <w:szCs w:val="24"/>
        </w:rPr>
      </w:pPr>
    </w:p>
    <w:p w14:paraId="24E50B95" w14:textId="213C82B0" w:rsidR="008D4B6F" w:rsidRPr="0077661C" w:rsidRDefault="006F0605">
      <w:pPr>
        <w:rPr>
          <w:rFonts w:ascii="Times New Roman" w:hAnsi="Times New Roman"/>
          <w:sz w:val="24"/>
          <w:szCs w:val="24"/>
        </w:rPr>
      </w:pPr>
      <w:r w:rsidRPr="0077661C">
        <w:rPr>
          <w:rFonts w:ascii="Times New Roman" w:hAnsi="Times New Roman"/>
          <w:sz w:val="24"/>
          <w:szCs w:val="24"/>
        </w:rPr>
        <w:t>Revize</w:t>
      </w:r>
      <w:r w:rsidR="008D4B6F" w:rsidRPr="0077661C">
        <w:rPr>
          <w:rFonts w:ascii="Times New Roman" w:hAnsi="Times New Roman"/>
          <w:sz w:val="24"/>
          <w:szCs w:val="24"/>
        </w:rPr>
        <w:t xml:space="preserve"> ze dne ……………</w:t>
      </w:r>
    </w:p>
    <w:p w14:paraId="70607407" w14:textId="77777777" w:rsidR="008D4B6F" w:rsidRPr="0077661C" w:rsidRDefault="008D4B6F">
      <w:pPr>
        <w:rPr>
          <w:rFonts w:ascii="Times New Roman" w:hAnsi="Times New Roman"/>
          <w:sz w:val="24"/>
          <w:szCs w:val="24"/>
        </w:rPr>
      </w:pPr>
    </w:p>
    <w:p w14:paraId="58EDF1E5" w14:textId="63642399" w:rsidR="008D4B6F" w:rsidRPr="0077661C" w:rsidRDefault="008D4B6F" w:rsidP="008D4B6F">
      <w:pPr>
        <w:jc w:val="both"/>
        <w:rPr>
          <w:rFonts w:ascii="Times New Roman" w:hAnsi="Times New Roman"/>
          <w:sz w:val="24"/>
          <w:szCs w:val="24"/>
        </w:rPr>
      </w:pPr>
      <w:r w:rsidRPr="0077661C">
        <w:rPr>
          <w:rFonts w:ascii="Times New Roman" w:hAnsi="Times New Roman"/>
          <w:sz w:val="24"/>
          <w:szCs w:val="24"/>
        </w:rPr>
        <w:t>V rozsahu ust. § 55d zák. č. 372/2011 Sb., o zdravotních službách, byla provedena revize stávající GDPR dokumentace vztahující se k vedení zdravotnické dokumentace, byla zhodnocena technická a organizační opatření v souvislosti s nakládáním a ochranou osobních a zvláštních osobních údajů. Tato revize byla provedena ke dni účinnosti ust. § 55d zákona o zdravotních službách a v souvislosti s pravidelnou obsahovou kontrolou nakládání s osobními údaji, když poskytovatel konstatuje, že přijal dostupná organizační a technická opatření v rámci svých objektivních možností reflektujících právní úpravu platnou ke dni provedení revize, jmenovitě obecné nařízení o ochraně osobních údajů, zákon o zpracování osobních údajů, zákon o zdravotních službách a vyhlášku o zdravotnické dokumentaci</w:t>
      </w:r>
    </w:p>
    <w:p w14:paraId="02AFF4F6" w14:textId="77777777" w:rsidR="008D4B6F" w:rsidRPr="0077661C" w:rsidRDefault="008D4B6F">
      <w:pPr>
        <w:rPr>
          <w:rFonts w:ascii="Times New Roman" w:hAnsi="Times New Roman"/>
          <w:sz w:val="24"/>
          <w:szCs w:val="24"/>
        </w:rPr>
      </w:pPr>
    </w:p>
    <w:p w14:paraId="67D8E8A1" w14:textId="77777777" w:rsidR="008D4B6F" w:rsidRPr="0077661C" w:rsidRDefault="008D4B6F">
      <w:pPr>
        <w:rPr>
          <w:rFonts w:ascii="Times New Roman" w:hAnsi="Times New Roman"/>
          <w:sz w:val="24"/>
          <w:szCs w:val="24"/>
        </w:rPr>
      </w:pPr>
    </w:p>
    <w:p w14:paraId="3F225E2A" w14:textId="77777777" w:rsidR="008D4B6F" w:rsidRPr="0077661C" w:rsidRDefault="008D4B6F">
      <w:pPr>
        <w:rPr>
          <w:rFonts w:ascii="Times New Roman" w:hAnsi="Times New Roman"/>
          <w:sz w:val="24"/>
          <w:szCs w:val="24"/>
        </w:rPr>
      </w:pPr>
    </w:p>
    <w:sectPr w:rsidR="008D4B6F" w:rsidRPr="0077661C" w:rsidSect="00621C0B">
      <w:headerReference w:type="default" r:id="rId7"/>
      <w:pgSz w:w="11906" w:h="16838"/>
      <w:pgMar w:top="1418" w:right="1418" w:bottom="1134" w:left="1418" w:header="567"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F7B2" w14:textId="77777777" w:rsidR="006A205F" w:rsidRDefault="006A205F">
      <w:r>
        <w:separator/>
      </w:r>
    </w:p>
  </w:endnote>
  <w:endnote w:type="continuationSeparator" w:id="0">
    <w:p w14:paraId="5A38C6D8" w14:textId="77777777" w:rsidR="006A205F" w:rsidRDefault="006A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733E" w14:textId="77777777" w:rsidR="006A205F" w:rsidRDefault="006A205F">
      <w:r>
        <w:separator/>
      </w:r>
    </w:p>
  </w:footnote>
  <w:footnote w:type="continuationSeparator" w:id="0">
    <w:p w14:paraId="6315F5D7" w14:textId="77777777" w:rsidR="006A205F" w:rsidRDefault="006A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499F" w14:textId="51346B5C" w:rsidR="00FD7568" w:rsidRPr="00111EEB" w:rsidRDefault="000C48A7" w:rsidP="00797FEB">
    <w:pPr>
      <w:rPr>
        <w:sz w:val="18"/>
        <w:szCs w:val="18"/>
      </w:rPr>
    </w:pPr>
    <w:r w:rsidRPr="00111EEB">
      <w:rPr>
        <w:sz w:val="18"/>
        <w:szCs w:val="18"/>
      </w:rPr>
      <w:t xml:space="preserve">Správce: </w:t>
    </w:r>
  </w:p>
  <w:p w14:paraId="6F78FFF2" w14:textId="070D3B9B" w:rsidR="0067717A" w:rsidRPr="00111EEB" w:rsidRDefault="00D03F18" w:rsidP="00797FEB">
    <w:pPr>
      <w:rPr>
        <w:sz w:val="18"/>
        <w:szCs w:val="18"/>
      </w:rPr>
    </w:pPr>
    <w:r w:rsidRPr="00111EEB">
      <w:rPr>
        <w:sz w:val="18"/>
        <w:szCs w:val="18"/>
      </w:rPr>
      <w:t>s</w:t>
    </w:r>
    <w:r w:rsidR="00FD7568" w:rsidRPr="00111EEB">
      <w:rPr>
        <w:sz w:val="18"/>
        <w:szCs w:val="18"/>
      </w:rPr>
      <w:t>e sídlem</w:t>
    </w:r>
    <w:r w:rsidR="00111EEB" w:rsidRPr="00111EEB">
      <w:rPr>
        <w:sz w:val="18"/>
        <w:szCs w:val="18"/>
      </w:rPr>
      <w:t>:</w:t>
    </w:r>
  </w:p>
  <w:p w14:paraId="0FFFE70B" w14:textId="7D2BFBFD" w:rsidR="0067717A" w:rsidRPr="00111EEB" w:rsidRDefault="000C48A7" w:rsidP="00621C0B">
    <w:pPr>
      <w:rPr>
        <w:sz w:val="18"/>
        <w:szCs w:val="18"/>
      </w:rPr>
    </w:pPr>
    <w:r w:rsidRPr="00111EEB">
      <w:rPr>
        <w:sz w:val="18"/>
        <w:szCs w:val="18"/>
      </w:rPr>
      <w:t>IČO:</w:t>
    </w:r>
    <w:r w:rsidR="00111EEB" w:rsidRPr="00111EEB">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C2442"/>
    <w:multiLevelType w:val="hybridMultilevel"/>
    <w:tmpl w:val="637C1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104A3B"/>
    <w:multiLevelType w:val="hybridMultilevel"/>
    <w:tmpl w:val="36129B70"/>
    <w:lvl w:ilvl="0" w:tplc="E8A0EB00">
      <w:start w:val="1"/>
      <w:numFmt w:val="bullet"/>
      <w:lvlText w:val="-"/>
      <w:lvlJc w:val="left"/>
      <w:pPr>
        <w:tabs>
          <w:tab w:val="num" w:pos="4490"/>
        </w:tabs>
        <w:ind w:left="4490" w:hanging="360"/>
      </w:pPr>
      <w:rPr>
        <w:rFonts w:ascii="Arial" w:hAnsi="Arial" w:hint="default"/>
        <w:color w:val="auto"/>
      </w:rPr>
    </w:lvl>
    <w:lvl w:ilvl="1" w:tplc="0405000F">
      <w:start w:val="1"/>
      <w:numFmt w:val="decimal"/>
      <w:lvlText w:val="%2."/>
      <w:lvlJc w:val="left"/>
      <w:pPr>
        <w:tabs>
          <w:tab w:val="num" w:pos="1505"/>
        </w:tabs>
        <w:ind w:left="1505" w:hanging="360"/>
      </w:pPr>
      <w:rPr>
        <w:rFonts w:hint="default"/>
        <w:color w:val="auto"/>
      </w:rPr>
    </w:lvl>
    <w:lvl w:ilvl="2" w:tplc="9410A4C0">
      <w:start w:val="1"/>
      <w:numFmt w:val="lowerLetter"/>
      <w:lvlText w:val="%3)"/>
      <w:lvlJc w:val="left"/>
      <w:pPr>
        <w:tabs>
          <w:tab w:val="num" w:pos="2225"/>
        </w:tabs>
        <w:ind w:left="2225" w:hanging="360"/>
      </w:pPr>
      <w:rPr>
        <w:rFont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cs="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cs="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2" w15:restartNumberingAfterBreak="0">
    <w:nsid w:val="29CE75AE"/>
    <w:multiLevelType w:val="multilevel"/>
    <w:tmpl w:val="A06E1FC6"/>
    <w:lvl w:ilvl="0">
      <w:start w:val="1"/>
      <w:numFmt w:val="decimal"/>
      <w:lvlText w:val="%1."/>
      <w:lvlJc w:val="left"/>
      <w:pPr>
        <w:tabs>
          <w:tab w:val="num" w:pos="360"/>
        </w:tabs>
        <w:ind w:left="360" w:hanging="360"/>
      </w:pPr>
      <w:rPr>
        <w:u w:val="none"/>
      </w:rPr>
    </w:lvl>
    <w:lvl w:ilvl="1">
      <w:start w:val="5"/>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2FE80CDC"/>
    <w:multiLevelType w:val="multilevel"/>
    <w:tmpl w:val="308A888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FB1756"/>
    <w:multiLevelType w:val="hybridMultilevel"/>
    <w:tmpl w:val="750CB2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BD794B"/>
    <w:multiLevelType w:val="multilevel"/>
    <w:tmpl w:val="CD6649D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146"/>
        </w:tabs>
        <w:ind w:left="1146"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705AAC"/>
    <w:multiLevelType w:val="multilevel"/>
    <w:tmpl w:val="4DCE6B72"/>
    <w:lvl w:ilvl="0">
      <w:start w:val="1"/>
      <w:numFmt w:val="decimal"/>
      <w:lvlText w:val="%1."/>
      <w:lvlJc w:val="left"/>
      <w:pPr>
        <w:tabs>
          <w:tab w:val="num" w:pos="705"/>
        </w:tabs>
        <w:ind w:left="705" w:hanging="705"/>
      </w:pPr>
      <w:rPr>
        <w:rFonts w:hint="default"/>
        <w:sz w:val="22"/>
        <w:szCs w:val="22"/>
      </w:rPr>
    </w:lvl>
    <w:lvl w:ilvl="1">
      <w:start w:val="1"/>
      <w:numFmt w:val="decimal"/>
      <w:lvlText w:val="%1.%2."/>
      <w:lvlJc w:val="left"/>
      <w:pPr>
        <w:tabs>
          <w:tab w:val="num" w:pos="1146"/>
        </w:tabs>
        <w:ind w:left="1146"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12645C6"/>
    <w:multiLevelType w:val="hybridMultilevel"/>
    <w:tmpl w:val="750CB2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2B61C4"/>
    <w:multiLevelType w:val="hybridMultilevel"/>
    <w:tmpl w:val="750CB2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1E5759"/>
    <w:multiLevelType w:val="hybridMultilevel"/>
    <w:tmpl w:val="52B691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5271D"/>
    <w:multiLevelType w:val="hybridMultilevel"/>
    <w:tmpl w:val="44CEF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84282B"/>
    <w:multiLevelType w:val="hybridMultilevel"/>
    <w:tmpl w:val="489E6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725999"/>
    <w:multiLevelType w:val="hybridMultilevel"/>
    <w:tmpl w:val="114834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9463337">
    <w:abstractNumId w:val="2"/>
  </w:num>
  <w:num w:numId="2" w16cid:durableId="903954894">
    <w:abstractNumId w:val="3"/>
  </w:num>
  <w:num w:numId="3" w16cid:durableId="1889994253">
    <w:abstractNumId w:val="5"/>
  </w:num>
  <w:num w:numId="4" w16cid:durableId="1235892277">
    <w:abstractNumId w:val="9"/>
  </w:num>
  <w:num w:numId="5" w16cid:durableId="1168011696">
    <w:abstractNumId w:val="6"/>
  </w:num>
  <w:num w:numId="6" w16cid:durableId="452292366">
    <w:abstractNumId w:val="1"/>
  </w:num>
  <w:num w:numId="7" w16cid:durableId="1074937597">
    <w:abstractNumId w:val="8"/>
  </w:num>
  <w:num w:numId="8" w16cid:durableId="488987690">
    <w:abstractNumId w:val="4"/>
  </w:num>
  <w:num w:numId="9" w16cid:durableId="865754029">
    <w:abstractNumId w:val="0"/>
  </w:num>
  <w:num w:numId="10" w16cid:durableId="1349218247">
    <w:abstractNumId w:val="11"/>
  </w:num>
  <w:num w:numId="11" w16cid:durableId="1889796845">
    <w:abstractNumId w:val="12"/>
  </w:num>
  <w:num w:numId="12" w16cid:durableId="947852790">
    <w:abstractNumId w:val="7"/>
  </w:num>
  <w:num w:numId="13" w16cid:durableId="1672175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A7"/>
    <w:rsid w:val="00012D2A"/>
    <w:rsid w:val="00033B63"/>
    <w:rsid w:val="0007734F"/>
    <w:rsid w:val="000C48A7"/>
    <w:rsid w:val="00101E07"/>
    <w:rsid w:val="00111EEB"/>
    <w:rsid w:val="001641CC"/>
    <w:rsid w:val="001B33A0"/>
    <w:rsid w:val="001C5EF0"/>
    <w:rsid w:val="002B4345"/>
    <w:rsid w:val="003957BF"/>
    <w:rsid w:val="003C683D"/>
    <w:rsid w:val="003F2F83"/>
    <w:rsid w:val="00483C84"/>
    <w:rsid w:val="00496A68"/>
    <w:rsid w:val="0067717A"/>
    <w:rsid w:val="006A205F"/>
    <w:rsid w:val="006F0605"/>
    <w:rsid w:val="00706841"/>
    <w:rsid w:val="00714B73"/>
    <w:rsid w:val="0077661C"/>
    <w:rsid w:val="007B08D1"/>
    <w:rsid w:val="0080196C"/>
    <w:rsid w:val="008162F8"/>
    <w:rsid w:val="00835B21"/>
    <w:rsid w:val="00870049"/>
    <w:rsid w:val="00893985"/>
    <w:rsid w:val="008C4B9D"/>
    <w:rsid w:val="008D4B6F"/>
    <w:rsid w:val="00967C72"/>
    <w:rsid w:val="00994BA8"/>
    <w:rsid w:val="009B2D27"/>
    <w:rsid w:val="00A007C2"/>
    <w:rsid w:val="00B102EF"/>
    <w:rsid w:val="00B172B5"/>
    <w:rsid w:val="00C75888"/>
    <w:rsid w:val="00C76C79"/>
    <w:rsid w:val="00D03F18"/>
    <w:rsid w:val="00D35DD6"/>
    <w:rsid w:val="00E01657"/>
    <w:rsid w:val="00ED7B97"/>
    <w:rsid w:val="00F26E09"/>
    <w:rsid w:val="00F754C0"/>
    <w:rsid w:val="00FD45AF"/>
    <w:rsid w:val="00FD7568"/>
    <w:rsid w:val="00FF0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D939"/>
  <w15:chartTrackingRefBased/>
  <w15:docId w15:val="{2BDBEBD3-85BE-4F5E-AE6F-DEB44D74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48A7"/>
    <w:pPr>
      <w:spacing w:after="0" w:line="240" w:lineRule="auto"/>
    </w:pPr>
    <w:rPr>
      <w:rFonts w:eastAsia="Times New Roman" w:cs="Times New Roman"/>
      <w:sz w:val="20"/>
      <w:szCs w:val="20"/>
      <w:lang w:eastAsia="cs-CZ"/>
    </w:rPr>
  </w:style>
  <w:style w:type="paragraph" w:styleId="Nadpis1">
    <w:name w:val="heading 1"/>
    <w:basedOn w:val="Normln"/>
    <w:next w:val="Normln"/>
    <w:link w:val="Nadpis1Char"/>
    <w:qFormat/>
    <w:rsid w:val="000C48A7"/>
    <w:pPr>
      <w:keepNext/>
      <w:tabs>
        <w:tab w:val="left" w:pos="-2268"/>
        <w:tab w:val="left" w:pos="426"/>
      </w:tabs>
      <w:spacing w:after="120"/>
      <w:jc w:val="both"/>
      <w:outlineLvl w:val="0"/>
    </w:pPr>
    <w:rPr>
      <w:b/>
      <w:sz w:val="24"/>
      <w:u w:val="single"/>
    </w:rPr>
  </w:style>
  <w:style w:type="paragraph" w:styleId="Nadpis2">
    <w:name w:val="heading 2"/>
    <w:basedOn w:val="Normln"/>
    <w:next w:val="Normln"/>
    <w:link w:val="Nadpis2Char"/>
    <w:qFormat/>
    <w:rsid w:val="000C48A7"/>
    <w:pPr>
      <w:keepNext/>
      <w:tabs>
        <w:tab w:val="left" w:pos="-2268"/>
      </w:tabs>
      <w:spacing w:before="60"/>
      <w:jc w:val="both"/>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48A7"/>
    <w:rPr>
      <w:rFonts w:eastAsia="Times New Roman" w:cs="Times New Roman"/>
      <w:b/>
      <w:sz w:val="24"/>
      <w:szCs w:val="20"/>
      <w:u w:val="single"/>
      <w:lang w:eastAsia="cs-CZ"/>
    </w:rPr>
  </w:style>
  <w:style w:type="character" w:customStyle="1" w:styleId="Nadpis2Char">
    <w:name w:val="Nadpis 2 Char"/>
    <w:basedOn w:val="Standardnpsmoodstavce"/>
    <w:link w:val="Nadpis2"/>
    <w:rsid w:val="000C48A7"/>
    <w:rPr>
      <w:rFonts w:eastAsia="Times New Roman" w:cs="Times New Roman"/>
      <w:b/>
      <w:sz w:val="24"/>
      <w:szCs w:val="20"/>
      <w:lang w:eastAsia="cs-CZ"/>
    </w:rPr>
  </w:style>
  <w:style w:type="paragraph" w:styleId="Zpat">
    <w:name w:val="footer"/>
    <w:basedOn w:val="Normln"/>
    <w:link w:val="ZpatChar"/>
    <w:rsid w:val="000C48A7"/>
    <w:pPr>
      <w:tabs>
        <w:tab w:val="center" w:pos="4536"/>
        <w:tab w:val="right" w:pos="9072"/>
      </w:tabs>
    </w:pPr>
  </w:style>
  <w:style w:type="character" w:customStyle="1" w:styleId="ZpatChar">
    <w:name w:val="Zápatí Char"/>
    <w:basedOn w:val="Standardnpsmoodstavce"/>
    <w:link w:val="Zpat"/>
    <w:rsid w:val="000C48A7"/>
    <w:rPr>
      <w:rFonts w:eastAsia="Times New Roman" w:cs="Times New Roman"/>
      <w:sz w:val="20"/>
      <w:szCs w:val="20"/>
      <w:lang w:eastAsia="cs-CZ"/>
    </w:rPr>
  </w:style>
  <w:style w:type="paragraph" w:styleId="Zkladntext">
    <w:name w:val="Body Text"/>
    <w:basedOn w:val="Normln"/>
    <w:link w:val="ZkladntextChar"/>
    <w:rsid w:val="000C48A7"/>
    <w:pPr>
      <w:spacing w:before="120"/>
      <w:jc w:val="both"/>
    </w:pPr>
    <w:rPr>
      <w:sz w:val="22"/>
    </w:rPr>
  </w:style>
  <w:style w:type="character" w:customStyle="1" w:styleId="ZkladntextChar">
    <w:name w:val="Základní text Char"/>
    <w:basedOn w:val="Standardnpsmoodstavce"/>
    <w:link w:val="Zkladntext"/>
    <w:rsid w:val="000C48A7"/>
    <w:rPr>
      <w:rFonts w:eastAsia="Times New Roman" w:cs="Times New Roman"/>
      <w:szCs w:val="20"/>
      <w:lang w:eastAsia="cs-CZ"/>
    </w:rPr>
  </w:style>
  <w:style w:type="paragraph" w:styleId="Obsah1">
    <w:name w:val="toc 1"/>
    <w:basedOn w:val="Normln"/>
    <w:next w:val="Normln"/>
    <w:autoRedefine/>
    <w:semiHidden/>
    <w:rsid w:val="000C48A7"/>
    <w:pPr>
      <w:tabs>
        <w:tab w:val="left" w:pos="284"/>
        <w:tab w:val="right" w:leader="dot" w:pos="9062"/>
      </w:tabs>
      <w:spacing w:before="60"/>
      <w:ind w:left="284" w:hanging="284"/>
    </w:pPr>
    <w:rPr>
      <w:b/>
      <w:noProof/>
      <w:sz w:val="24"/>
    </w:rPr>
  </w:style>
  <w:style w:type="character" w:styleId="Hypertextovodkaz">
    <w:name w:val="Hyperlink"/>
    <w:rsid w:val="000C48A7"/>
    <w:rPr>
      <w:color w:val="0000FF"/>
      <w:u w:val="single"/>
    </w:rPr>
  </w:style>
  <w:style w:type="paragraph" w:styleId="Obsah2">
    <w:name w:val="toc 2"/>
    <w:basedOn w:val="Normln"/>
    <w:next w:val="Normln"/>
    <w:autoRedefine/>
    <w:semiHidden/>
    <w:rsid w:val="000C48A7"/>
    <w:pPr>
      <w:tabs>
        <w:tab w:val="left" w:pos="567"/>
        <w:tab w:val="left" w:pos="1276"/>
        <w:tab w:val="right" w:leader="dot" w:pos="9061"/>
      </w:tabs>
      <w:spacing w:before="40"/>
      <w:ind w:left="567" w:hanging="425"/>
    </w:pPr>
  </w:style>
  <w:style w:type="table" w:styleId="Mkatabulky">
    <w:name w:val="Table Grid"/>
    <w:basedOn w:val="Normlntabulka"/>
    <w:rsid w:val="000C48A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48A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C48A7"/>
    <w:pPr>
      <w:spacing w:after="160" w:line="259" w:lineRule="auto"/>
      <w:ind w:left="720"/>
      <w:contextualSpacing/>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714B73"/>
    <w:pPr>
      <w:tabs>
        <w:tab w:val="center" w:pos="4536"/>
        <w:tab w:val="right" w:pos="9072"/>
      </w:tabs>
    </w:pPr>
  </w:style>
  <w:style w:type="character" w:customStyle="1" w:styleId="ZhlavChar">
    <w:name w:val="Záhlaví Char"/>
    <w:basedOn w:val="Standardnpsmoodstavce"/>
    <w:link w:val="Zhlav"/>
    <w:uiPriority w:val="99"/>
    <w:rsid w:val="00714B73"/>
    <w:rPr>
      <w:rFonts w:eastAsia="Times New Roman" w:cs="Times New Roman"/>
      <w:sz w:val="20"/>
      <w:szCs w:val="20"/>
      <w:lang w:eastAsia="cs-CZ"/>
    </w:rPr>
  </w:style>
  <w:style w:type="character" w:customStyle="1" w:styleId="xxvalue">
    <w:name w:val="xxvalue"/>
    <w:basedOn w:val="Standardnpsmoodstavce"/>
    <w:rsid w:val="00111EEB"/>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1778</Words>
  <Characters>10494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Daniel Valášek | centrala Olomouc</cp:lastModifiedBy>
  <cp:revision>27</cp:revision>
  <dcterms:created xsi:type="dcterms:W3CDTF">2018-04-24T13:16:00Z</dcterms:created>
  <dcterms:modified xsi:type="dcterms:W3CDTF">2025-02-26T15:59:00Z</dcterms:modified>
</cp:coreProperties>
</file>